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16E6" w14:textId="3D62787F" w:rsidR="00F11E33" w:rsidRPr="00771D4A" w:rsidRDefault="00F11E33" w:rsidP="00F11E33">
      <w:pPr>
        <w:jc w:val="center"/>
        <w:rPr>
          <w:b/>
          <w:bCs/>
          <w:sz w:val="20"/>
          <w:szCs w:val="20"/>
        </w:rPr>
      </w:pPr>
      <w:r w:rsidRPr="00771D4A">
        <w:rPr>
          <w:b/>
          <w:bCs/>
          <w:sz w:val="20"/>
          <w:szCs w:val="20"/>
        </w:rPr>
        <w:t xml:space="preserve">DEXCOM TAKE HOME TRIAL </w:t>
      </w:r>
      <w:r w:rsidR="002E5111" w:rsidRPr="00771D4A">
        <w:rPr>
          <w:b/>
          <w:bCs/>
          <w:sz w:val="20"/>
          <w:szCs w:val="20"/>
        </w:rPr>
        <w:t>TERMS AND CONDITIONS</w:t>
      </w:r>
    </w:p>
    <w:p w14:paraId="3929AE11" w14:textId="261A4CE0" w:rsidR="009D0B36" w:rsidRPr="00771D4A" w:rsidRDefault="009D0B36" w:rsidP="009D0B36">
      <w:pPr>
        <w:rPr>
          <w:sz w:val="20"/>
          <w:szCs w:val="20"/>
        </w:rPr>
      </w:pPr>
      <w:r w:rsidRPr="00771D4A">
        <w:rPr>
          <w:sz w:val="20"/>
          <w:szCs w:val="20"/>
        </w:rPr>
        <w:t xml:space="preserve">PLEASE READ THESE TERMS </w:t>
      </w:r>
      <w:r w:rsidR="00BC2813" w:rsidRPr="00771D4A">
        <w:rPr>
          <w:sz w:val="20"/>
          <w:szCs w:val="20"/>
        </w:rPr>
        <w:t>AND CONDITIONS</w:t>
      </w:r>
      <w:r w:rsidRPr="00771D4A">
        <w:rPr>
          <w:sz w:val="20"/>
          <w:szCs w:val="20"/>
        </w:rPr>
        <w:t xml:space="preserve"> CAREFULLY BEFORE </w:t>
      </w:r>
      <w:r w:rsidR="007561F9" w:rsidRPr="00771D4A">
        <w:rPr>
          <w:sz w:val="20"/>
          <w:szCs w:val="20"/>
        </w:rPr>
        <w:t xml:space="preserve">PARTICIPATING IN </w:t>
      </w:r>
      <w:r w:rsidR="006721EF" w:rsidRPr="00771D4A">
        <w:rPr>
          <w:sz w:val="20"/>
          <w:szCs w:val="20"/>
        </w:rPr>
        <w:t xml:space="preserve">OR USING </w:t>
      </w:r>
      <w:r w:rsidR="007561F9" w:rsidRPr="00771D4A">
        <w:rPr>
          <w:sz w:val="20"/>
          <w:szCs w:val="20"/>
        </w:rPr>
        <w:t>THE DEXCOM TAKE HOME TRIAL</w:t>
      </w:r>
      <w:r w:rsidRPr="00771D4A">
        <w:rPr>
          <w:sz w:val="20"/>
          <w:szCs w:val="20"/>
        </w:rPr>
        <w:t>.</w:t>
      </w:r>
    </w:p>
    <w:p w14:paraId="1D00BCEE" w14:textId="2E602E28" w:rsidR="009D0B36" w:rsidRPr="00771D4A" w:rsidRDefault="009D0B36" w:rsidP="009D0B36">
      <w:pPr>
        <w:rPr>
          <w:sz w:val="20"/>
          <w:szCs w:val="20"/>
        </w:rPr>
      </w:pPr>
      <w:r w:rsidRPr="00771D4A">
        <w:rPr>
          <w:sz w:val="20"/>
          <w:szCs w:val="20"/>
        </w:rPr>
        <w:t xml:space="preserve">These </w:t>
      </w:r>
      <w:r w:rsidR="007561F9" w:rsidRPr="00771D4A">
        <w:rPr>
          <w:sz w:val="20"/>
          <w:szCs w:val="20"/>
        </w:rPr>
        <w:t xml:space="preserve">Dexcom Take Home Trial </w:t>
      </w:r>
      <w:r w:rsidRPr="00771D4A">
        <w:rPr>
          <w:sz w:val="20"/>
          <w:szCs w:val="20"/>
        </w:rPr>
        <w:t xml:space="preserve">Terms </w:t>
      </w:r>
      <w:r w:rsidR="007561F9" w:rsidRPr="00771D4A">
        <w:rPr>
          <w:sz w:val="20"/>
          <w:szCs w:val="20"/>
        </w:rPr>
        <w:t>and Conditions</w:t>
      </w:r>
      <w:r w:rsidRPr="00771D4A">
        <w:rPr>
          <w:sz w:val="20"/>
          <w:szCs w:val="20"/>
        </w:rPr>
        <w:t xml:space="preserve"> ("Terms </w:t>
      </w:r>
      <w:r w:rsidR="007561F9" w:rsidRPr="00771D4A">
        <w:rPr>
          <w:sz w:val="20"/>
          <w:szCs w:val="20"/>
        </w:rPr>
        <w:t xml:space="preserve">and </w:t>
      </w:r>
      <w:r w:rsidR="0088747C" w:rsidRPr="00771D4A">
        <w:rPr>
          <w:sz w:val="20"/>
          <w:szCs w:val="20"/>
        </w:rPr>
        <w:t>Conditions</w:t>
      </w:r>
      <w:r w:rsidRPr="00771D4A">
        <w:rPr>
          <w:sz w:val="20"/>
          <w:szCs w:val="20"/>
        </w:rPr>
        <w:t xml:space="preserve">") govern your </w:t>
      </w:r>
      <w:r w:rsidR="00DD7D08" w:rsidRPr="00771D4A">
        <w:rPr>
          <w:sz w:val="20"/>
          <w:szCs w:val="20"/>
        </w:rPr>
        <w:t>participation in</w:t>
      </w:r>
      <w:r w:rsidR="00AE3D9D" w:rsidRPr="00771D4A">
        <w:rPr>
          <w:sz w:val="20"/>
          <w:szCs w:val="20"/>
        </w:rPr>
        <w:t>,</w:t>
      </w:r>
      <w:r w:rsidR="00DD7D08" w:rsidRPr="00771D4A">
        <w:rPr>
          <w:sz w:val="20"/>
          <w:szCs w:val="20"/>
        </w:rPr>
        <w:t xml:space="preserve"> and use of</w:t>
      </w:r>
      <w:r w:rsidR="00AE3D9D" w:rsidRPr="00771D4A">
        <w:rPr>
          <w:sz w:val="20"/>
          <w:szCs w:val="20"/>
        </w:rPr>
        <w:t>,</w:t>
      </w:r>
      <w:r w:rsidR="00DD7D08" w:rsidRPr="00771D4A">
        <w:rPr>
          <w:sz w:val="20"/>
          <w:szCs w:val="20"/>
        </w:rPr>
        <w:t xml:space="preserve"> </w:t>
      </w:r>
      <w:r w:rsidR="00FD630E" w:rsidRPr="00771D4A">
        <w:rPr>
          <w:sz w:val="20"/>
          <w:szCs w:val="20"/>
        </w:rPr>
        <w:t>the</w:t>
      </w:r>
      <w:r w:rsidR="00DD7D08" w:rsidRPr="00771D4A">
        <w:rPr>
          <w:sz w:val="20"/>
          <w:szCs w:val="20"/>
        </w:rPr>
        <w:t xml:space="preserve"> Dexc</w:t>
      </w:r>
      <w:r w:rsidR="00FD630E" w:rsidRPr="00771D4A">
        <w:rPr>
          <w:sz w:val="20"/>
          <w:szCs w:val="20"/>
        </w:rPr>
        <w:t>om Take Home Trial (“Take Home Trial”)</w:t>
      </w:r>
      <w:r w:rsidRPr="00771D4A">
        <w:rPr>
          <w:sz w:val="20"/>
          <w:szCs w:val="20"/>
        </w:rPr>
        <w:t xml:space="preserve"> provided by Dexcom, Inc. and its affiliates (collectively, "Dexcom</w:t>
      </w:r>
      <w:r w:rsidR="00AE3D9D" w:rsidRPr="00771D4A">
        <w:rPr>
          <w:sz w:val="20"/>
          <w:szCs w:val="20"/>
        </w:rPr>
        <w:t xml:space="preserve"> </w:t>
      </w:r>
      <w:r w:rsidRPr="00771D4A">
        <w:rPr>
          <w:sz w:val="20"/>
          <w:szCs w:val="20"/>
        </w:rPr>
        <w:t xml:space="preserve">"). </w:t>
      </w:r>
      <w:r w:rsidR="00DF18F9" w:rsidRPr="00771D4A">
        <w:rPr>
          <w:sz w:val="20"/>
          <w:szCs w:val="20"/>
        </w:rPr>
        <w:t xml:space="preserve">You accept </w:t>
      </w:r>
      <w:r w:rsidR="00C36479" w:rsidRPr="00771D4A">
        <w:rPr>
          <w:sz w:val="20"/>
          <w:szCs w:val="20"/>
        </w:rPr>
        <w:t xml:space="preserve">and agree to </w:t>
      </w:r>
      <w:r w:rsidR="00DF18F9" w:rsidRPr="00771D4A">
        <w:rPr>
          <w:sz w:val="20"/>
          <w:szCs w:val="20"/>
        </w:rPr>
        <w:t xml:space="preserve">these Terms </w:t>
      </w:r>
      <w:r w:rsidR="00B11FD6" w:rsidRPr="00771D4A">
        <w:rPr>
          <w:sz w:val="20"/>
          <w:szCs w:val="20"/>
        </w:rPr>
        <w:t>and Conditions</w:t>
      </w:r>
      <w:r w:rsidR="007415FB" w:rsidRPr="00771D4A">
        <w:rPr>
          <w:sz w:val="20"/>
          <w:szCs w:val="20"/>
        </w:rPr>
        <w:t xml:space="preserve"> by</w:t>
      </w:r>
      <w:r w:rsidRPr="00771D4A">
        <w:rPr>
          <w:sz w:val="20"/>
          <w:szCs w:val="20"/>
        </w:rPr>
        <w:t xml:space="preserve"> </w:t>
      </w:r>
      <w:r w:rsidR="00AE3D9D" w:rsidRPr="00771D4A">
        <w:rPr>
          <w:sz w:val="20"/>
          <w:szCs w:val="20"/>
        </w:rPr>
        <w:t>particip</w:t>
      </w:r>
      <w:r w:rsidR="004C09EF" w:rsidRPr="00771D4A">
        <w:rPr>
          <w:sz w:val="20"/>
          <w:szCs w:val="20"/>
        </w:rPr>
        <w:t>ating in or using</w:t>
      </w:r>
      <w:r w:rsidRPr="00771D4A">
        <w:rPr>
          <w:sz w:val="20"/>
          <w:szCs w:val="20"/>
        </w:rPr>
        <w:t xml:space="preserve"> the </w:t>
      </w:r>
      <w:r w:rsidR="004C09EF" w:rsidRPr="00771D4A">
        <w:rPr>
          <w:sz w:val="20"/>
          <w:szCs w:val="20"/>
        </w:rPr>
        <w:t>Take Home Trial</w:t>
      </w:r>
      <w:r w:rsidR="007415FB" w:rsidRPr="00771D4A">
        <w:rPr>
          <w:sz w:val="20"/>
          <w:szCs w:val="20"/>
        </w:rPr>
        <w:t>.</w:t>
      </w:r>
      <w:r w:rsidR="000D2DF1" w:rsidRPr="00771D4A">
        <w:rPr>
          <w:sz w:val="20"/>
          <w:szCs w:val="20"/>
        </w:rPr>
        <w:t xml:space="preserve"> </w:t>
      </w:r>
      <w:r w:rsidRPr="00771D4A">
        <w:rPr>
          <w:sz w:val="20"/>
          <w:szCs w:val="20"/>
        </w:rPr>
        <w:t xml:space="preserve">If you do not </w:t>
      </w:r>
      <w:r w:rsidR="009B2117" w:rsidRPr="00771D4A">
        <w:rPr>
          <w:sz w:val="20"/>
          <w:szCs w:val="20"/>
        </w:rPr>
        <w:t xml:space="preserve">accept these Terms </w:t>
      </w:r>
      <w:r w:rsidR="00B11FD6" w:rsidRPr="00771D4A">
        <w:rPr>
          <w:sz w:val="20"/>
          <w:szCs w:val="20"/>
        </w:rPr>
        <w:t>and Conditions</w:t>
      </w:r>
      <w:r w:rsidRPr="00771D4A">
        <w:rPr>
          <w:sz w:val="20"/>
          <w:szCs w:val="20"/>
        </w:rPr>
        <w:t>,</w:t>
      </w:r>
      <w:r w:rsidR="00F01F0C" w:rsidRPr="00771D4A">
        <w:rPr>
          <w:sz w:val="20"/>
          <w:szCs w:val="20"/>
        </w:rPr>
        <w:t xml:space="preserve"> you </w:t>
      </w:r>
      <w:r w:rsidR="00C36479" w:rsidRPr="00771D4A">
        <w:rPr>
          <w:sz w:val="20"/>
          <w:szCs w:val="20"/>
        </w:rPr>
        <w:t>are not authorized to</w:t>
      </w:r>
      <w:r w:rsidR="00F01F0C" w:rsidRPr="00771D4A">
        <w:rPr>
          <w:sz w:val="20"/>
          <w:szCs w:val="20"/>
        </w:rPr>
        <w:t xml:space="preserve"> </w:t>
      </w:r>
      <w:r w:rsidR="008B01B2" w:rsidRPr="00771D4A">
        <w:rPr>
          <w:sz w:val="20"/>
          <w:szCs w:val="20"/>
        </w:rPr>
        <w:t>participate in</w:t>
      </w:r>
      <w:r w:rsidRPr="00771D4A">
        <w:rPr>
          <w:sz w:val="20"/>
          <w:szCs w:val="20"/>
        </w:rPr>
        <w:t xml:space="preserve"> or use the </w:t>
      </w:r>
      <w:r w:rsidR="008B01B2" w:rsidRPr="00771D4A">
        <w:rPr>
          <w:sz w:val="20"/>
          <w:szCs w:val="20"/>
        </w:rPr>
        <w:t>Take Home Trial</w:t>
      </w:r>
      <w:r w:rsidRPr="00771D4A">
        <w:rPr>
          <w:sz w:val="20"/>
          <w:szCs w:val="20"/>
        </w:rPr>
        <w:t>.</w:t>
      </w:r>
    </w:p>
    <w:p w14:paraId="5D066675" w14:textId="2B57EA91" w:rsidR="001A4CE2" w:rsidRPr="00771D4A" w:rsidRDefault="004375C0">
      <w:pPr>
        <w:rPr>
          <w:sz w:val="20"/>
          <w:szCs w:val="20"/>
        </w:rPr>
      </w:pPr>
      <w:r w:rsidRPr="00771D4A">
        <w:rPr>
          <w:b/>
          <w:bCs/>
          <w:sz w:val="20"/>
          <w:szCs w:val="20"/>
        </w:rPr>
        <w:t>1. Purpose of the Trial</w:t>
      </w:r>
      <w:r w:rsidRPr="00771D4A">
        <w:rPr>
          <w:sz w:val="20"/>
          <w:szCs w:val="20"/>
        </w:rPr>
        <w:br/>
        <w:t>Dexcom offers a voluntary Take Home Trial that allows you to personally experience and evaluate the</w:t>
      </w:r>
      <w:r w:rsidR="008946DA" w:rsidRPr="00771D4A">
        <w:rPr>
          <w:sz w:val="20"/>
          <w:szCs w:val="20"/>
        </w:rPr>
        <w:t>: (1)</w:t>
      </w:r>
      <w:r w:rsidRPr="00771D4A">
        <w:rPr>
          <w:sz w:val="20"/>
          <w:szCs w:val="20"/>
        </w:rPr>
        <w:t xml:space="preserve"> Dexcom G7 15 </w:t>
      </w:r>
      <w:r w:rsidR="004A7797" w:rsidRPr="00771D4A">
        <w:rPr>
          <w:sz w:val="20"/>
          <w:szCs w:val="20"/>
        </w:rPr>
        <w:t xml:space="preserve">Day </w:t>
      </w:r>
      <w:r w:rsidRPr="00771D4A">
        <w:rPr>
          <w:sz w:val="20"/>
          <w:szCs w:val="20"/>
        </w:rPr>
        <w:t xml:space="preserve">Continuous Glucose Monitoring </w:t>
      </w:r>
      <w:r w:rsidR="006459C2" w:rsidRPr="00771D4A">
        <w:rPr>
          <w:sz w:val="20"/>
          <w:szCs w:val="20"/>
        </w:rPr>
        <w:t>S</w:t>
      </w:r>
      <w:r w:rsidRPr="00771D4A">
        <w:rPr>
          <w:sz w:val="20"/>
          <w:szCs w:val="20"/>
        </w:rPr>
        <w:t>ystem</w:t>
      </w:r>
      <w:r w:rsidR="00D21F18" w:rsidRPr="00771D4A">
        <w:rPr>
          <w:rStyle w:val="FootnoteReference"/>
          <w:sz w:val="20"/>
          <w:szCs w:val="20"/>
        </w:rPr>
        <w:footnoteReference w:id="1"/>
      </w:r>
      <w:r w:rsidRPr="00771D4A">
        <w:rPr>
          <w:sz w:val="20"/>
          <w:szCs w:val="20"/>
        </w:rPr>
        <w:t>, which includes one Dexcom G7 15 Day sensor and the Dexcom G7 mobile application</w:t>
      </w:r>
      <w:r w:rsidR="008946DA" w:rsidRPr="00771D4A">
        <w:rPr>
          <w:sz w:val="20"/>
          <w:szCs w:val="20"/>
        </w:rPr>
        <w:t>; and</w:t>
      </w:r>
      <w:r w:rsidR="00F81C46" w:rsidRPr="00771D4A">
        <w:rPr>
          <w:sz w:val="20"/>
          <w:szCs w:val="20"/>
        </w:rPr>
        <w:t>/or</w:t>
      </w:r>
      <w:r w:rsidR="008946DA" w:rsidRPr="00771D4A">
        <w:rPr>
          <w:sz w:val="20"/>
          <w:szCs w:val="20"/>
        </w:rPr>
        <w:t xml:space="preserve"> (2)</w:t>
      </w:r>
      <w:r w:rsidR="004C575F" w:rsidRPr="00771D4A">
        <w:rPr>
          <w:sz w:val="20"/>
          <w:szCs w:val="20"/>
        </w:rPr>
        <w:t xml:space="preserve"> the</w:t>
      </w:r>
      <w:r w:rsidR="008946DA" w:rsidRPr="00771D4A">
        <w:rPr>
          <w:sz w:val="20"/>
          <w:szCs w:val="20"/>
        </w:rPr>
        <w:t xml:space="preserve"> </w:t>
      </w:r>
      <w:proofErr w:type="spellStart"/>
      <w:r w:rsidR="008946DA" w:rsidRPr="00771D4A">
        <w:rPr>
          <w:sz w:val="20"/>
          <w:szCs w:val="20"/>
        </w:rPr>
        <w:t>Stelo</w:t>
      </w:r>
      <w:proofErr w:type="spellEnd"/>
      <w:r w:rsidR="008946DA" w:rsidRPr="00771D4A">
        <w:rPr>
          <w:sz w:val="20"/>
          <w:szCs w:val="20"/>
        </w:rPr>
        <w:t xml:space="preserve"> Glucose Biosensor System</w:t>
      </w:r>
      <w:r w:rsidR="00D21F18" w:rsidRPr="00771D4A">
        <w:rPr>
          <w:rStyle w:val="FootnoteReference"/>
          <w:sz w:val="20"/>
          <w:szCs w:val="20"/>
        </w:rPr>
        <w:footnoteReference w:id="2"/>
      </w:r>
      <w:r w:rsidR="006E685C" w:rsidRPr="00771D4A">
        <w:rPr>
          <w:sz w:val="20"/>
          <w:szCs w:val="20"/>
        </w:rPr>
        <w:t xml:space="preserve">, which includes one </w:t>
      </w:r>
      <w:proofErr w:type="spellStart"/>
      <w:r w:rsidR="006E685C" w:rsidRPr="00771D4A">
        <w:rPr>
          <w:sz w:val="20"/>
          <w:szCs w:val="20"/>
        </w:rPr>
        <w:t>Stelo</w:t>
      </w:r>
      <w:proofErr w:type="spellEnd"/>
      <w:r w:rsidR="006E685C" w:rsidRPr="00771D4A">
        <w:rPr>
          <w:sz w:val="20"/>
          <w:szCs w:val="20"/>
        </w:rPr>
        <w:t xml:space="preserve"> Glucose Biosensor and the </w:t>
      </w:r>
      <w:proofErr w:type="spellStart"/>
      <w:r w:rsidR="006E685C" w:rsidRPr="00771D4A">
        <w:rPr>
          <w:sz w:val="20"/>
          <w:szCs w:val="20"/>
        </w:rPr>
        <w:t>Stelo</w:t>
      </w:r>
      <w:proofErr w:type="spellEnd"/>
      <w:r w:rsidR="006E685C" w:rsidRPr="00771D4A">
        <w:rPr>
          <w:sz w:val="20"/>
          <w:szCs w:val="20"/>
        </w:rPr>
        <w:t xml:space="preserve"> by Dexcom mobile application</w:t>
      </w:r>
      <w:r w:rsidRPr="00771D4A">
        <w:rPr>
          <w:sz w:val="20"/>
          <w:szCs w:val="20"/>
        </w:rPr>
        <w:t xml:space="preserve"> (</w:t>
      </w:r>
      <w:r w:rsidR="00A31F99" w:rsidRPr="00771D4A">
        <w:rPr>
          <w:sz w:val="20"/>
          <w:szCs w:val="20"/>
        </w:rPr>
        <w:t>each a “Product</w:t>
      </w:r>
      <w:r w:rsidR="006E685C" w:rsidRPr="00771D4A">
        <w:rPr>
          <w:sz w:val="20"/>
          <w:szCs w:val="20"/>
        </w:rPr>
        <w:t>”</w:t>
      </w:r>
      <w:r w:rsidR="00A31F99" w:rsidRPr="00771D4A">
        <w:rPr>
          <w:sz w:val="20"/>
          <w:szCs w:val="20"/>
        </w:rPr>
        <w:t xml:space="preserve">, collectively, </w:t>
      </w:r>
      <w:r w:rsidRPr="00771D4A">
        <w:rPr>
          <w:sz w:val="20"/>
          <w:szCs w:val="20"/>
        </w:rPr>
        <w:t>the "Product</w:t>
      </w:r>
      <w:r w:rsidR="006E685C" w:rsidRPr="00771D4A">
        <w:rPr>
          <w:sz w:val="20"/>
          <w:szCs w:val="20"/>
        </w:rPr>
        <w:t>s</w:t>
      </w:r>
      <w:r w:rsidRPr="00771D4A">
        <w:rPr>
          <w:sz w:val="20"/>
          <w:szCs w:val="20"/>
        </w:rPr>
        <w:t>"). The period</w:t>
      </w:r>
      <w:r w:rsidR="00A155DE" w:rsidRPr="00771D4A">
        <w:rPr>
          <w:sz w:val="20"/>
          <w:szCs w:val="20"/>
        </w:rPr>
        <w:t xml:space="preserve"> to complete this Take Home Trial</w:t>
      </w:r>
      <w:r w:rsidRPr="00771D4A">
        <w:rPr>
          <w:sz w:val="20"/>
          <w:szCs w:val="20"/>
        </w:rPr>
        <w:t xml:space="preserve"> </w:t>
      </w:r>
      <w:r w:rsidR="00A155DE" w:rsidRPr="00771D4A">
        <w:rPr>
          <w:sz w:val="20"/>
          <w:szCs w:val="20"/>
        </w:rPr>
        <w:t xml:space="preserve">lasts </w:t>
      </w:r>
      <w:r w:rsidRPr="00771D4A">
        <w:rPr>
          <w:sz w:val="20"/>
          <w:szCs w:val="20"/>
        </w:rPr>
        <w:t xml:space="preserve">up to </w:t>
      </w:r>
      <w:r w:rsidR="00DC2082" w:rsidRPr="00771D4A">
        <w:rPr>
          <w:sz w:val="20"/>
          <w:szCs w:val="20"/>
        </w:rPr>
        <w:t xml:space="preserve">ninety </w:t>
      </w:r>
      <w:r w:rsidRPr="00771D4A">
        <w:rPr>
          <w:sz w:val="20"/>
          <w:szCs w:val="20"/>
        </w:rPr>
        <w:t>(</w:t>
      </w:r>
      <w:r w:rsidR="00DC2082" w:rsidRPr="00771D4A">
        <w:rPr>
          <w:sz w:val="20"/>
          <w:szCs w:val="20"/>
        </w:rPr>
        <w:t>9</w:t>
      </w:r>
      <w:r w:rsidRPr="00771D4A">
        <w:rPr>
          <w:sz w:val="20"/>
          <w:szCs w:val="20"/>
        </w:rPr>
        <w:t xml:space="preserve">0) days </w:t>
      </w:r>
      <w:r w:rsidR="008B06F5" w:rsidRPr="00771D4A">
        <w:rPr>
          <w:sz w:val="20"/>
          <w:szCs w:val="20"/>
        </w:rPr>
        <w:t xml:space="preserve">from the date of your Take Home Trial registration </w:t>
      </w:r>
      <w:r w:rsidRPr="00771D4A">
        <w:rPr>
          <w:sz w:val="20"/>
          <w:szCs w:val="20"/>
        </w:rPr>
        <w:t xml:space="preserve">and must be conducted </w:t>
      </w:r>
      <w:r w:rsidR="00A46D79" w:rsidRPr="00771D4A">
        <w:rPr>
          <w:sz w:val="20"/>
          <w:szCs w:val="20"/>
        </w:rPr>
        <w:t>for</w:t>
      </w:r>
      <w:r w:rsidR="00400D33" w:rsidRPr="00771D4A">
        <w:rPr>
          <w:sz w:val="20"/>
          <w:szCs w:val="20"/>
        </w:rPr>
        <w:t xml:space="preserve"> licensed h</w:t>
      </w:r>
      <w:r w:rsidR="00EA0173" w:rsidRPr="00771D4A">
        <w:rPr>
          <w:sz w:val="20"/>
          <w:szCs w:val="20"/>
        </w:rPr>
        <w:t xml:space="preserve">ealthcare </w:t>
      </w:r>
      <w:r w:rsidR="00400D33" w:rsidRPr="00771D4A">
        <w:rPr>
          <w:sz w:val="20"/>
          <w:szCs w:val="20"/>
        </w:rPr>
        <w:t>p</w:t>
      </w:r>
      <w:r w:rsidR="00EA0173" w:rsidRPr="00771D4A">
        <w:rPr>
          <w:sz w:val="20"/>
          <w:szCs w:val="20"/>
        </w:rPr>
        <w:t xml:space="preserve">rovider </w:t>
      </w:r>
      <w:r w:rsidR="00A46D79" w:rsidRPr="00771D4A">
        <w:rPr>
          <w:sz w:val="20"/>
          <w:szCs w:val="20"/>
        </w:rPr>
        <w:t xml:space="preserve">education and evaluation purposes </w:t>
      </w:r>
      <w:r w:rsidR="00B91A13" w:rsidRPr="00771D4A">
        <w:rPr>
          <w:sz w:val="20"/>
          <w:szCs w:val="20"/>
        </w:rPr>
        <w:t xml:space="preserve">only, </w:t>
      </w:r>
      <w:r w:rsidR="00A46D79" w:rsidRPr="00771D4A">
        <w:rPr>
          <w:sz w:val="20"/>
          <w:szCs w:val="20"/>
        </w:rPr>
        <w:t>consistent with</w:t>
      </w:r>
      <w:r w:rsidR="001D3653" w:rsidRPr="00771D4A">
        <w:rPr>
          <w:sz w:val="20"/>
          <w:szCs w:val="20"/>
        </w:rPr>
        <w:t xml:space="preserve"> </w:t>
      </w:r>
      <w:r w:rsidR="003E120A" w:rsidRPr="00771D4A">
        <w:rPr>
          <w:sz w:val="20"/>
          <w:szCs w:val="20"/>
        </w:rPr>
        <w:t>all applicable laws</w:t>
      </w:r>
      <w:r w:rsidRPr="00771D4A">
        <w:rPr>
          <w:sz w:val="20"/>
          <w:szCs w:val="20"/>
        </w:rPr>
        <w:t>.</w:t>
      </w:r>
    </w:p>
    <w:p w14:paraId="59958014" w14:textId="17CDAA89" w:rsidR="001A4CE2" w:rsidRPr="00771D4A" w:rsidRDefault="004375C0">
      <w:pPr>
        <w:rPr>
          <w:sz w:val="20"/>
          <w:szCs w:val="20"/>
        </w:rPr>
      </w:pPr>
      <w:r w:rsidRPr="00771D4A">
        <w:rPr>
          <w:sz w:val="20"/>
          <w:szCs w:val="20"/>
        </w:rPr>
        <w:t>The Product</w:t>
      </w:r>
      <w:r w:rsidR="00E3726C" w:rsidRPr="00771D4A">
        <w:rPr>
          <w:sz w:val="20"/>
          <w:szCs w:val="20"/>
        </w:rPr>
        <w:t>s</w:t>
      </w:r>
      <w:r w:rsidRPr="00771D4A">
        <w:rPr>
          <w:sz w:val="20"/>
          <w:szCs w:val="20"/>
        </w:rPr>
        <w:t xml:space="preserve"> </w:t>
      </w:r>
      <w:r w:rsidR="00E3726C" w:rsidRPr="00771D4A">
        <w:rPr>
          <w:sz w:val="20"/>
          <w:szCs w:val="20"/>
        </w:rPr>
        <w:t>are</w:t>
      </w:r>
      <w:r w:rsidRPr="00771D4A">
        <w:rPr>
          <w:sz w:val="20"/>
          <w:szCs w:val="20"/>
        </w:rPr>
        <w:t xml:space="preserve"> not for patient use and may not be used for diagnosis, screening, monitoring, or treatment of diabetes. Any information generated is for product evaluation purposes only.</w:t>
      </w:r>
      <w:r w:rsidR="009C273F" w:rsidRPr="00771D4A">
        <w:rPr>
          <w:sz w:val="20"/>
          <w:szCs w:val="20"/>
        </w:rPr>
        <w:t xml:space="preserve"> Th</w:t>
      </w:r>
      <w:r w:rsidR="00E3726C" w:rsidRPr="00771D4A">
        <w:rPr>
          <w:sz w:val="20"/>
          <w:szCs w:val="20"/>
        </w:rPr>
        <w:t>ese</w:t>
      </w:r>
      <w:r w:rsidR="009C273F" w:rsidRPr="00771D4A">
        <w:rPr>
          <w:sz w:val="20"/>
          <w:szCs w:val="20"/>
        </w:rPr>
        <w:t xml:space="preserve"> Product</w:t>
      </w:r>
      <w:r w:rsidR="00E3726C" w:rsidRPr="00771D4A">
        <w:rPr>
          <w:sz w:val="20"/>
          <w:szCs w:val="20"/>
        </w:rPr>
        <w:t>s</w:t>
      </w:r>
      <w:r w:rsidR="009C273F" w:rsidRPr="00771D4A">
        <w:rPr>
          <w:sz w:val="20"/>
          <w:szCs w:val="20"/>
        </w:rPr>
        <w:t xml:space="preserve"> </w:t>
      </w:r>
      <w:r w:rsidR="00E3726C" w:rsidRPr="00771D4A">
        <w:rPr>
          <w:sz w:val="20"/>
          <w:szCs w:val="20"/>
        </w:rPr>
        <w:t>are</w:t>
      </w:r>
      <w:r w:rsidR="003C26AA" w:rsidRPr="00771D4A">
        <w:rPr>
          <w:sz w:val="20"/>
          <w:szCs w:val="20"/>
        </w:rPr>
        <w:t xml:space="preserve"> provided by Dexcom for education and awareness purposes only. </w:t>
      </w:r>
    </w:p>
    <w:p w14:paraId="1C3D8312" w14:textId="36811ACF" w:rsidR="004A7797" w:rsidRPr="00771D4A" w:rsidRDefault="004375C0" w:rsidP="00A52420">
      <w:pPr>
        <w:spacing w:after="0"/>
        <w:rPr>
          <w:b/>
          <w:bCs/>
          <w:sz w:val="20"/>
          <w:szCs w:val="20"/>
        </w:rPr>
      </w:pPr>
      <w:r w:rsidRPr="00771D4A">
        <w:rPr>
          <w:b/>
          <w:bCs/>
          <w:sz w:val="20"/>
          <w:szCs w:val="20"/>
        </w:rPr>
        <w:t>2</w:t>
      </w:r>
      <w:proofErr w:type="gramStart"/>
      <w:r w:rsidRPr="00771D4A">
        <w:rPr>
          <w:b/>
          <w:bCs/>
          <w:sz w:val="20"/>
          <w:szCs w:val="20"/>
        </w:rPr>
        <w:t xml:space="preserve">. </w:t>
      </w:r>
      <w:r w:rsidR="004A7797" w:rsidRPr="00771D4A">
        <w:rPr>
          <w:b/>
          <w:bCs/>
          <w:sz w:val="20"/>
          <w:szCs w:val="20"/>
        </w:rPr>
        <w:t>Take Home</w:t>
      </w:r>
      <w:proofErr w:type="gramEnd"/>
      <w:r w:rsidR="004A7797" w:rsidRPr="00771D4A">
        <w:rPr>
          <w:b/>
          <w:bCs/>
          <w:sz w:val="20"/>
          <w:szCs w:val="20"/>
        </w:rPr>
        <w:t xml:space="preserve"> Trial Requirements</w:t>
      </w:r>
    </w:p>
    <w:p w14:paraId="52FD07E9" w14:textId="41639E86" w:rsidR="00AD3705" w:rsidRPr="00771D4A" w:rsidRDefault="00A87083" w:rsidP="00A52420">
      <w:pPr>
        <w:spacing w:after="0"/>
        <w:rPr>
          <w:sz w:val="20"/>
          <w:szCs w:val="20"/>
          <w:u w:val="single"/>
        </w:rPr>
      </w:pPr>
      <w:r w:rsidRPr="00771D4A">
        <w:rPr>
          <w:sz w:val="20"/>
          <w:szCs w:val="20"/>
          <w:u w:val="single"/>
        </w:rPr>
        <w:t>Dexcom G7 15 Day</w:t>
      </w:r>
      <w:r w:rsidR="00690E33" w:rsidRPr="00771D4A">
        <w:rPr>
          <w:sz w:val="20"/>
          <w:szCs w:val="20"/>
          <w:u w:val="single"/>
        </w:rPr>
        <w:t xml:space="preserve"> Continuous Glucose Monitoring </w:t>
      </w:r>
      <w:r w:rsidR="006459C2" w:rsidRPr="00771D4A">
        <w:rPr>
          <w:sz w:val="20"/>
          <w:szCs w:val="20"/>
          <w:u w:val="single"/>
        </w:rPr>
        <w:t>S</w:t>
      </w:r>
      <w:r w:rsidR="00690E33" w:rsidRPr="00771D4A">
        <w:rPr>
          <w:sz w:val="20"/>
          <w:szCs w:val="20"/>
          <w:u w:val="single"/>
        </w:rPr>
        <w:t>ystem:</w:t>
      </w:r>
    </w:p>
    <w:p w14:paraId="76718761" w14:textId="5E9A88EC" w:rsidR="008C4998" w:rsidRDefault="0024648A" w:rsidP="00A52420">
      <w:pPr>
        <w:spacing w:after="0"/>
        <w:rPr>
          <w:sz w:val="20"/>
          <w:szCs w:val="20"/>
        </w:rPr>
      </w:pPr>
      <w:r w:rsidRPr="00771D4A">
        <w:rPr>
          <w:sz w:val="20"/>
          <w:szCs w:val="20"/>
        </w:rPr>
        <w:t xml:space="preserve">You </w:t>
      </w:r>
      <w:r w:rsidR="00044CDA" w:rsidRPr="00771D4A">
        <w:rPr>
          <w:sz w:val="20"/>
          <w:szCs w:val="20"/>
        </w:rPr>
        <w:t xml:space="preserve">agree and </w:t>
      </w:r>
      <w:r w:rsidRPr="00771D4A">
        <w:rPr>
          <w:sz w:val="20"/>
          <w:szCs w:val="20"/>
        </w:rPr>
        <w:t xml:space="preserve">acknowledge that in addition to </w:t>
      </w:r>
      <w:r w:rsidR="00711B93" w:rsidRPr="00771D4A">
        <w:rPr>
          <w:sz w:val="20"/>
          <w:szCs w:val="20"/>
        </w:rPr>
        <w:t xml:space="preserve">your receipt of </w:t>
      </w:r>
      <w:r w:rsidRPr="00771D4A">
        <w:rPr>
          <w:sz w:val="20"/>
          <w:szCs w:val="20"/>
        </w:rPr>
        <w:t xml:space="preserve">the Products, </w:t>
      </w:r>
      <w:r w:rsidR="00620D85" w:rsidRPr="00771D4A">
        <w:rPr>
          <w:sz w:val="20"/>
          <w:szCs w:val="20"/>
        </w:rPr>
        <w:t>you</w:t>
      </w:r>
      <w:r w:rsidR="00145A14" w:rsidRPr="00771D4A">
        <w:rPr>
          <w:sz w:val="20"/>
          <w:szCs w:val="20"/>
        </w:rPr>
        <w:t>: (1)</w:t>
      </w:r>
      <w:r w:rsidR="00620D85" w:rsidRPr="00771D4A">
        <w:rPr>
          <w:sz w:val="20"/>
          <w:szCs w:val="20"/>
        </w:rPr>
        <w:t xml:space="preserve"> are a licensed healthcare </w:t>
      </w:r>
      <w:r w:rsidR="00044CDA" w:rsidRPr="00771D4A">
        <w:rPr>
          <w:sz w:val="20"/>
          <w:szCs w:val="20"/>
        </w:rPr>
        <w:t>provider</w:t>
      </w:r>
      <w:r w:rsidR="00145A14" w:rsidRPr="00771D4A">
        <w:rPr>
          <w:sz w:val="20"/>
          <w:szCs w:val="20"/>
        </w:rPr>
        <w:t>;</w:t>
      </w:r>
      <w:r w:rsidR="00044CDA" w:rsidRPr="00771D4A">
        <w:rPr>
          <w:sz w:val="20"/>
          <w:szCs w:val="20"/>
        </w:rPr>
        <w:t xml:space="preserve"> </w:t>
      </w:r>
      <w:r w:rsidR="00145A14" w:rsidRPr="00771D4A">
        <w:rPr>
          <w:sz w:val="20"/>
          <w:szCs w:val="20"/>
        </w:rPr>
        <w:t xml:space="preserve">(2) </w:t>
      </w:r>
      <w:r w:rsidR="006459C2" w:rsidRPr="00771D4A">
        <w:rPr>
          <w:sz w:val="20"/>
          <w:szCs w:val="20"/>
        </w:rPr>
        <w:t>are licensed in the United States; (3)</w:t>
      </w:r>
      <w:r w:rsidR="008E48A1" w:rsidRPr="00771D4A">
        <w:rPr>
          <w:sz w:val="20"/>
          <w:szCs w:val="20"/>
        </w:rPr>
        <w:t xml:space="preserve">are </w:t>
      </w:r>
      <w:r w:rsidR="00101382" w:rsidRPr="00771D4A">
        <w:rPr>
          <w:sz w:val="20"/>
          <w:szCs w:val="20"/>
        </w:rPr>
        <w:t xml:space="preserve">a </w:t>
      </w:r>
      <w:r w:rsidR="008E48A1" w:rsidRPr="00771D4A">
        <w:rPr>
          <w:sz w:val="20"/>
          <w:szCs w:val="20"/>
        </w:rPr>
        <w:t>licensed</w:t>
      </w:r>
      <w:r w:rsidR="00101382" w:rsidRPr="00771D4A">
        <w:rPr>
          <w:sz w:val="20"/>
          <w:szCs w:val="20"/>
        </w:rPr>
        <w:t xml:space="preserve"> healthcare provider</w:t>
      </w:r>
      <w:r w:rsidR="008E48A1" w:rsidRPr="00771D4A">
        <w:rPr>
          <w:sz w:val="20"/>
          <w:szCs w:val="20"/>
        </w:rPr>
        <w:t xml:space="preserve"> in a state that permits </w:t>
      </w:r>
      <w:r w:rsidR="001D5766" w:rsidRPr="00771D4A">
        <w:rPr>
          <w:sz w:val="20"/>
          <w:szCs w:val="20"/>
        </w:rPr>
        <w:t>your participation in this Take Home Trial; (</w:t>
      </w:r>
      <w:r w:rsidR="006459C2" w:rsidRPr="00771D4A">
        <w:rPr>
          <w:sz w:val="20"/>
          <w:szCs w:val="20"/>
        </w:rPr>
        <w:t>4</w:t>
      </w:r>
      <w:r w:rsidR="001D5766" w:rsidRPr="00771D4A">
        <w:rPr>
          <w:sz w:val="20"/>
          <w:szCs w:val="20"/>
        </w:rPr>
        <w:t xml:space="preserve">) </w:t>
      </w:r>
      <w:r w:rsidR="00BE14B1" w:rsidRPr="00771D4A">
        <w:rPr>
          <w:sz w:val="20"/>
          <w:szCs w:val="20"/>
        </w:rPr>
        <w:t>are not</w:t>
      </w:r>
      <w:r w:rsidR="0040182F" w:rsidRPr="00771D4A">
        <w:rPr>
          <w:sz w:val="20"/>
          <w:szCs w:val="20"/>
        </w:rPr>
        <w:t xml:space="preserve"> a licensed healthcare provider who has prescribed </w:t>
      </w:r>
      <w:r w:rsidR="00114653" w:rsidRPr="00771D4A">
        <w:rPr>
          <w:sz w:val="20"/>
          <w:szCs w:val="20"/>
        </w:rPr>
        <w:t xml:space="preserve">Dexcom Products to any beneficiary of the Colorado Medicaid program or </w:t>
      </w:r>
      <w:r w:rsidR="00F53BED" w:rsidRPr="00771D4A">
        <w:rPr>
          <w:sz w:val="20"/>
          <w:szCs w:val="20"/>
        </w:rPr>
        <w:t>Maine Medicaid</w:t>
      </w:r>
      <w:r w:rsidR="00B3436B" w:rsidRPr="00771D4A">
        <w:rPr>
          <w:sz w:val="20"/>
          <w:szCs w:val="20"/>
        </w:rPr>
        <w:t xml:space="preserve"> program</w:t>
      </w:r>
      <w:r w:rsidR="00F53BED" w:rsidRPr="00771D4A">
        <w:rPr>
          <w:sz w:val="20"/>
          <w:szCs w:val="20"/>
        </w:rPr>
        <w:t xml:space="preserve"> </w:t>
      </w:r>
      <w:r w:rsidR="00B3436B" w:rsidRPr="00771D4A">
        <w:rPr>
          <w:sz w:val="20"/>
          <w:szCs w:val="20"/>
        </w:rPr>
        <w:t>in the past twelve (12) months; (</w:t>
      </w:r>
      <w:r w:rsidR="006459C2" w:rsidRPr="00771D4A">
        <w:rPr>
          <w:sz w:val="20"/>
          <w:szCs w:val="20"/>
        </w:rPr>
        <w:t>5</w:t>
      </w:r>
      <w:r w:rsidR="00B3436B" w:rsidRPr="00771D4A">
        <w:rPr>
          <w:sz w:val="20"/>
          <w:szCs w:val="20"/>
        </w:rPr>
        <w:t xml:space="preserve">) </w:t>
      </w:r>
      <w:r w:rsidR="00100772" w:rsidRPr="00771D4A">
        <w:rPr>
          <w:sz w:val="20"/>
          <w:szCs w:val="20"/>
        </w:rPr>
        <w:t>have an active NPI number; (</w:t>
      </w:r>
      <w:r w:rsidR="009C1703" w:rsidRPr="00771D4A">
        <w:rPr>
          <w:sz w:val="20"/>
          <w:szCs w:val="20"/>
        </w:rPr>
        <w:t xml:space="preserve">6) </w:t>
      </w:r>
      <w:r w:rsidR="00D94289" w:rsidRPr="00771D4A">
        <w:rPr>
          <w:sz w:val="20"/>
          <w:szCs w:val="20"/>
        </w:rPr>
        <w:t xml:space="preserve">are eighteen (18) years or older; (7) </w:t>
      </w:r>
      <w:r w:rsidR="002F7242" w:rsidRPr="00771D4A">
        <w:rPr>
          <w:sz w:val="20"/>
          <w:szCs w:val="20"/>
        </w:rPr>
        <w:t>are not fami</w:t>
      </w:r>
      <w:r w:rsidR="00E83477" w:rsidRPr="00771D4A">
        <w:rPr>
          <w:sz w:val="20"/>
          <w:szCs w:val="20"/>
        </w:rPr>
        <w:t>liar with the Product</w:t>
      </w:r>
      <w:r w:rsidR="00B93AEA" w:rsidRPr="00771D4A">
        <w:rPr>
          <w:sz w:val="20"/>
          <w:szCs w:val="20"/>
        </w:rPr>
        <w:t xml:space="preserve"> and require further education; (</w:t>
      </w:r>
      <w:r w:rsidR="00287784" w:rsidRPr="00771D4A">
        <w:rPr>
          <w:sz w:val="20"/>
          <w:szCs w:val="20"/>
        </w:rPr>
        <w:t>8</w:t>
      </w:r>
      <w:r w:rsidR="00B93AEA" w:rsidRPr="00771D4A">
        <w:rPr>
          <w:sz w:val="20"/>
          <w:szCs w:val="20"/>
        </w:rPr>
        <w:t>) have a compatible smart phone; (</w:t>
      </w:r>
      <w:r w:rsidR="00287784" w:rsidRPr="00771D4A">
        <w:rPr>
          <w:sz w:val="20"/>
          <w:szCs w:val="20"/>
        </w:rPr>
        <w:t>9</w:t>
      </w:r>
      <w:r w:rsidR="00BD3D9C" w:rsidRPr="00771D4A">
        <w:rPr>
          <w:sz w:val="20"/>
          <w:szCs w:val="20"/>
        </w:rPr>
        <w:t>)</w:t>
      </w:r>
      <w:r w:rsidR="00E83477" w:rsidRPr="00771D4A">
        <w:rPr>
          <w:sz w:val="20"/>
          <w:szCs w:val="20"/>
        </w:rPr>
        <w:t xml:space="preserve"> </w:t>
      </w:r>
      <w:r w:rsidR="00940D6A" w:rsidRPr="00771D4A">
        <w:rPr>
          <w:sz w:val="20"/>
          <w:szCs w:val="20"/>
        </w:rPr>
        <w:t>have met</w:t>
      </w:r>
      <w:r w:rsidR="006432ED" w:rsidRPr="00771D4A">
        <w:rPr>
          <w:sz w:val="20"/>
          <w:szCs w:val="20"/>
        </w:rPr>
        <w:t xml:space="preserve"> the requirements to register for the </w:t>
      </w:r>
      <w:r w:rsidR="00940D6A" w:rsidRPr="00771D4A">
        <w:rPr>
          <w:sz w:val="20"/>
          <w:szCs w:val="20"/>
        </w:rPr>
        <w:t>Take Home Trial; (</w:t>
      </w:r>
      <w:r w:rsidR="00287784" w:rsidRPr="00771D4A">
        <w:rPr>
          <w:sz w:val="20"/>
          <w:szCs w:val="20"/>
        </w:rPr>
        <w:t>10</w:t>
      </w:r>
      <w:r w:rsidR="00940D6A" w:rsidRPr="00771D4A">
        <w:rPr>
          <w:sz w:val="20"/>
          <w:szCs w:val="20"/>
        </w:rPr>
        <w:t xml:space="preserve">) </w:t>
      </w:r>
      <w:r w:rsidR="00340E6C" w:rsidRPr="00771D4A">
        <w:rPr>
          <w:sz w:val="20"/>
          <w:szCs w:val="20"/>
        </w:rPr>
        <w:t>have registered for the Take Home Trial</w:t>
      </w:r>
      <w:r w:rsidR="00145A14" w:rsidRPr="00771D4A">
        <w:rPr>
          <w:sz w:val="20"/>
          <w:szCs w:val="20"/>
        </w:rPr>
        <w:t xml:space="preserve">; </w:t>
      </w:r>
      <w:r w:rsidR="000D54F2" w:rsidRPr="00771D4A">
        <w:rPr>
          <w:sz w:val="20"/>
          <w:szCs w:val="20"/>
        </w:rPr>
        <w:t xml:space="preserve">and </w:t>
      </w:r>
      <w:r w:rsidR="00145A14" w:rsidRPr="00771D4A">
        <w:rPr>
          <w:sz w:val="20"/>
          <w:szCs w:val="20"/>
        </w:rPr>
        <w:t>(</w:t>
      </w:r>
      <w:r w:rsidR="00BD3D9C" w:rsidRPr="00771D4A">
        <w:rPr>
          <w:sz w:val="20"/>
          <w:szCs w:val="20"/>
        </w:rPr>
        <w:t>1</w:t>
      </w:r>
      <w:r w:rsidR="00287784" w:rsidRPr="00771D4A">
        <w:rPr>
          <w:sz w:val="20"/>
          <w:szCs w:val="20"/>
        </w:rPr>
        <w:t>1</w:t>
      </w:r>
      <w:r w:rsidR="00145A14" w:rsidRPr="00771D4A">
        <w:rPr>
          <w:sz w:val="20"/>
          <w:szCs w:val="20"/>
        </w:rPr>
        <w:t>)</w:t>
      </w:r>
      <w:r w:rsidR="00A51CED" w:rsidRPr="00771D4A">
        <w:rPr>
          <w:sz w:val="20"/>
          <w:szCs w:val="20"/>
        </w:rPr>
        <w:t xml:space="preserve"> have been made aware of the </w:t>
      </w:r>
      <w:r w:rsidRPr="00771D4A">
        <w:rPr>
          <w:sz w:val="20"/>
          <w:szCs w:val="20"/>
        </w:rPr>
        <w:t xml:space="preserve">Dexcom </w:t>
      </w:r>
      <w:r w:rsidR="00D83D40" w:rsidRPr="00771D4A">
        <w:rPr>
          <w:sz w:val="20"/>
          <w:szCs w:val="20"/>
        </w:rPr>
        <w:t>resources</w:t>
      </w:r>
      <w:r w:rsidR="00314DDC" w:rsidRPr="00771D4A">
        <w:rPr>
          <w:sz w:val="20"/>
          <w:szCs w:val="20"/>
        </w:rPr>
        <w:t xml:space="preserve"> available to you</w:t>
      </w:r>
      <w:r w:rsidR="00D83D40" w:rsidRPr="00771D4A">
        <w:rPr>
          <w:sz w:val="20"/>
          <w:szCs w:val="20"/>
        </w:rPr>
        <w:t xml:space="preserve">, including </w:t>
      </w:r>
      <w:r w:rsidR="00FC10ED" w:rsidRPr="00771D4A">
        <w:rPr>
          <w:sz w:val="20"/>
          <w:szCs w:val="20"/>
        </w:rPr>
        <w:t>Hands-On Training</w:t>
      </w:r>
      <w:r w:rsidR="00D83D40" w:rsidRPr="00771D4A">
        <w:rPr>
          <w:sz w:val="20"/>
          <w:szCs w:val="20"/>
        </w:rPr>
        <w:t xml:space="preserve">, </w:t>
      </w:r>
      <w:r w:rsidR="002A60E3" w:rsidRPr="00771D4A">
        <w:rPr>
          <w:sz w:val="20"/>
          <w:szCs w:val="20"/>
        </w:rPr>
        <w:t xml:space="preserve">clinical education, </w:t>
      </w:r>
      <w:r w:rsidR="000D54F2" w:rsidRPr="00771D4A">
        <w:rPr>
          <w:sz w:val="20"/>
          <w:szCs w:val="20"/>
        </w:rPr>
        <w:t xml:space="preserve">and </w:t>
      </w:r>
      <w:r w:rsidR="00D83D40" w:rsidRPr="00771D4A">
        <w:rPr>
          <w:sz w:val="20"/>
          <w:szCs w:val="20"/>
        </w:rPr>
        <w:t>technical support</w:t>
      </w:r>
      <w:r w:rsidR="008C4998" w:rsidRPr="00771D4A">
        <w:rPr>
          <w:sz w:val="20"/>
          <w:szCs w:val="20"/>
        </w:rPr>
        <w:t>.</w:t>
      </w:r>
    </w:p>
    <w:p w14:paraId="7AE933B1" w14:textId="77777777" w:rsidR="00771D4A" w:rsidRPr="00771D4A" w:rsidRDefault="00771D4A" w:rsidP="00A52420">
      <w:pPr>
        <w:spacing w:after="0"/>
        <w:rPr>
          <w:sz w:val="20"/>
          <w:szCs w:val="20"/>
        </w:rPr>
      </w:pPr>
    </w:p>
    <w:p w14:paraId="1E5A065E" w14:textId="32E20C62" w:rsidR="00AD3705" w:rsidRPr="00771D4A" w:rsidRDefault="00AD3705" w:rsidP="00771D4A">
      <w:pPr>
        <w:spacing w:after="0"/>
        <w:rPr>
          <w:sz w:val="20"/>
          <w:szCs w:val="20"/>
        </w:rPr>
      </w:pPr>
      <w:proofErr w:type="spellStart"/>
      <w:r w:rsidRPr="00771D4A">
        <w:rPr>
          <w:sz w:val="20"/>
          <w:szCs w:val="20"/>
          <w:u w:val="single"/>
        </w:rPr>
        <w:t>Stelo</w:t>
      </w:r>
      <w:proofErr w:type="spellEnd"/>
      <w:r w:rsidRPr="00771D4A">
        <w:rPr>
          <w:sz w:val="20"/>
          <w:szCs w:val="20"/>
          <w:u w:val="single"/>
        </w:rPr>
        <w:t xml:space="preserve"> Glucose Biosensor</w:t>
      </w:r>
      <w:r w:rsidR="006459C2" w:rsidRPr="00771D4A">
        <w:rPr>
          <w:sz w:val="20"/>
          <w:szCs w:val="20"/>
          <w:u w:val="single"/>
        </w:rPr>
        <w:t xml:space="preserve"> System</w:t>
      </w:r>
      <w:r w:rsidRPr="00771D4A">
        <w:rPr>
          <w:sz w:val="20"/>
          <w:szCs w:val="20"/>
          <w:u w:val="single"/>
        </w:rPr>
        <w:t>:</w:t>
      </w:r>
    </w:p>
    <w:p w14:paraId="5ACEEF53" w14:textId="6983B4A0" w:rsidR="00AD3705" w:rsidRPr="00771D4A" w:rsidRDefault="00AD3705" w:rsidP="00771D4A">
      <w:pPr>
        <w:spacing w:after="0"/>
        <w:rPr>
          <w:sz w:val="20"/>
          <w:szCs w:val="20"/>
        </w:rPr>
      </w:pPr>
      <w:r w:rsidRPr="00771D4A">
        <w:rPr>
          <w:sz w:val="20"/>
          <w:szCs w:val="20"/>
        </w:rPr>
        <w:t xml:space="preserve">You agree and acknowledge that in addition to your receipt of the Products, you: (1) are a </w:t>
      </w:r>
      <w:r w:rsidR="001D1DF8" w:rsidRPr="00771D4A">
        <w:rPr>
          <w:sz w:val="20"/>
          <w:szCs w:val="20"/>
        </w:rPr>
        <w:t xml:space="preserve">healthcare student, or </w:t>
      </w:r>
      <w:r w:rsidRPr="00771D4A">
        <w:rPr>
          <w:sz w:val="20"/>
          <w:szCs w:val="20"/>
        </w:rPr>
        <w:t>licensed healthcare provider</w:t>
      </w:r>
      <w:r w:rsidR="00713396" w:rsidRPr="00771D4A">
        <w:rPr>
          <w:sz w:val="20"/>
          <w:szCs w:val="20"/>
        </w:rPr>
        <w:t>, and in each case, are authorized to participate in the Take Home Trial</w:t>
      </w:r>
      <w:r w:rsidRPr="00771D4A">
        <w:rPr>
          <w:sz w:val="20"/>
          <w:szCs w:val="20"/>
        </w:rPr>
        <w:t xml:space="preserve">; (2) </w:t>
      </w:r>
      <w:r w:rsidR="00121D7D" w:rsidRPr="00771D4A">
        <w:rPr>
          <w:sz w:val="20"/>
          <w:szCs w:val="20"/>
        </w:rPr>
        <w:t xml:space="preserve">are, </w:t>
      </w:r>
      <w:r w:rsidR="001D1DF8" w:rsidRPr="00771D4A">
        <w:rPr>
          <w:sz w:val="20"/>
          <w:szCs w:val="20"/>
        </w:rPr>
        <w:t>if</w:t>
      </w:r>
      <w:r w:rsidRPr="00771D4A">
        <w:rPr>
          <w:sz w:val="20"/>
          <w:szCs w:val="20"/>
        </w:rPr>
        <w:t xml:space="preserve"> a licensed healthcare provider</w:t>
      </w:r>
      <w:r w:rsidR="001D1DF8" w:rsidRPr="00771D4A">
        <w:rPr>
          <w:sz w:val="20"/>
          <w:szCs w:val="20"/>
        </w:rPr>
        <w:t xml:space="preserve">, </w:t>
      </w:r>
      <w:r w:rsidRPr="00771D4A">
        <w:rPr>
          <w:sz w:val="20"/>
          <w:szCs w:val="20"/>
        </w:rPr>
        <w:t xml:space="preserve">in a state that permits your participation in this Take Home Trial; (3) </w:t>
      </w:r>
      <w:r w:rsidR="005E74BD" w:rsidRPr="00771D4A">
        <w:rPr>
          <w:sz w:val="20"/>
          <w:szCs w:val="20"/>
        </w:rPr>
        <w:t>are, if a licensed healthcare provider, licensed in the United States</w:t>
      </w:r>
      <w:r w:rsidR="00E70817" w:rsidRPr="00771D4A">
        <w:rPr>
          <w:sz w:val="20"/>
          <w:szCs w:val="20"/>
        </w:rPr>
        <w:t xml:space="preserve">; (4) </w:t>
      </w:r>
      <w:r w:rsidRPr="00771D4A">
        <w:rPr>
          <w:sz w:val="20"/>
          <w:szCs w:val="20"/>
        </w:rPr>
        <w:t>are</w:t>
      </w:r>
      <w:r w:rsidR="00550F93" w:rsidRPr="00771D4A">
        <w:rPr>
          <w:sz w:val="20"/>
          <w:szCs w:val="20"/>
        </w:rPr>
        <w:t>, if a licensed healthcare provider,</w:t>
      </w:r>
      <w:r w:rsidRPr="00771D4A">
        <w:rPr>
          <w:sz w:val="20"/>
          <w:szCs w:val="20"/>
        </w:rPr>
        <w:t xml:space="preserve"> not a licensed healthcare provider who has prescribed Dexcom Products to any beneficiary of the Colorado Medicaid program or Maine Medicaid program in the past twelve (12) months; (</w:t>
      </w:r>
      <w:r w:rsidR="003C0952" w:rsidRPr="00771D4A">
        <w:rPr>
          <w:sz w:val="20"/>
          <w:szCs w:val="20"/>
        </w:rPr>
        <w:t>5</w:t>
      </w:r>
      <w:r w:rsidRPr="00771D4A">
        <w:rPr>
          <w:sz w:val="20"/>
          <w:szCs w:val="20"/>
        </w:rPr>
        <w:t xml:space="preserve">) </w:t>
      </w:r>
      <w:r w:rsidR="00DB58F0" w:rsidRPr="00771D4A">
        <w:rPr>
          <w:sz w:val="20"/>
          <w:szCs w:val="20"/>
        </w:rPr>
        <w:t xml:space="preserve">are </w:t>
      </w:r>
      <w:r w:rsidR="00D94289" w:rsidRPr="00771D4A">
        <w:rPr>
          <w:sz w:val="20"/>
          <w:szCs w:val="20"/>
        </w:rPr>
        <w:t>eighteen (</w:t>
      </w:r>
      <w:r w:rsidR="00DB58F0" w:rsidRPr="00771D4A">
        <w:rPr>
          <w:sz w:val="20"/>
          <w:szCs w:val="20"/>
        </w:rPr>
        <w:t>18</w:t>
      </w:r>
      <w:r w:rsidR="00D94289" w:rsidRPr="00771D4A">
        <w:rPr>
          <w:sz w:val="20"/>
          <w:szCs w:val="20"/>
        </w:rPr>
        <w:t>)</w:t>
      </w:r>
      <w:r w:rsidR="00DB58F0" w:rsidRPr="00771D4A">
        <w:rPr>
          <w:sz w:val="20"/>
          <w:szCs w:val="20"/>
        </w:rPr>
        <w:t xml:space="preserve"> years or older and not on insulin; (</w:t>
      </w:r>
      <w:r w:rsidR="003C0952" w:rsidRPr="00771D4A">
        <w:rPr>
          <w:sz w:val="20"/>
          <w:szCs w:val="20"/>
        </w:rPr>
        <w:t xml:space="preserve">6) are not familiar with the Product and require further education; (7) </w:t>
      </w:r>
      <w:r w:rsidR="0085335A" w:rsidRPr="00771D4A">
        <w:rPr>
          <w:sz w:val="20"/>
          <w:szCs w:val="20"/>
        </w:rPr>
        <w:t xml:space="preserve">have a compatible smart phone; (8) </w:t>
      </w:r>
      <w:r w:rsidR="00713396" w:rsidRPr="00771D4A">
        <w:rPr>
          <w:sz w:val="20"/>
          <w:szCs w:val="20"/>
        </w:rPr>
        <w:t>are</w:t>
      </w:r>
      <w:r w:rsidR="00805A71" w:rsidRPr="00771D4A">
        <w:rPr>
          <w:sz w:val="20"/>
          <w:szCs w:val="20"/>
        </w:rPr>
        <w:t xml:space="preserve"> a resident of the United States; (9) </w:t>
      </w:r>
      <w:r w:rsidRPr="00771D4A">
        <w:rPr>
          <w:sz w:val="20"/>
          <w:szCs w:val="20"/>
        </w:rPr>
        <w:t>have met the requirements to register for the Take Home Trial; (</w:t>
      </w:r>
      <w:r w:rsidR="00805A71" w:rsidRPr="00771D4A">
        <w:rPr>
          <w:sz w:val="20"/>
          <w:szCs w:val="20"/>
        </w:rPr>
        <w:t>10</w:t>
      </w:r>
      <w:r w:rsidRPr="00771D4A">
        <w:rPr>
          <w:sz w:val="20"/>
          <w:szCs w:val="20"/>
        </w:rPr>
        <w:t>) have registered for the Take Home Trial; and (</w:t>
      </w:r>
      <w:r w:rsidR="00805A71" w:rsidRPr="00771D4A">
        <w:rPr>
          <w:sz w:val="20"/>
          <w:szCs w:val="20"/>
        </w:rPr>
        <w:t>11</w:t>
      </w:r>
      <w:r w:rsidRPr="00771D4A">
        <w:rPr>
          <w:sz w:val="20"/>
          <w:szCs w:val="20"/>
        </w:rPr>
        <w:t>) have been made aware of the Dexcom resources available to you, including Hands-On Training, clinical education, and technical support.</w:t>
      </w:r>
    </w:p>
    <w:p w14:paraId="1BB0560A" w14:textId="5D0A7D30" w:rsidR="0024648A" w:rsidRPr="00771D4A" w:rsidRDefault="00D83D40" w:rsidP="00A52420">
      <w:pPr>
        <w:spacing w:after="0"/>
        <w:rPr>
          <w:sz w:val="20"/>
          <w:szCs w:val="20"/>
        </w:rPr>
      </w:pPr>
      <w:r w:rsidRPr="00771D4A">
        <w:rPr>
          <w:sz w:val="20"/>
          <w:szCs w:val="20"/>
        </w:rPr>
        <w:t xml:space="preserve">  </w:t>
      </w:r>
    </w:p>
    <w:p w14:paraId="575F567B" w14:textId="23A28A4F" w:rsidR="001A4CE2" w:rsidRPr="00771D4A" w:rsidRDefault="0024648A">
      <w:pPr>
        <w:rPr>
          <w:sz w:val="20"/>
          <w:szCs w:val="20"/>
        </w:rPr>
      </w:pPr>
      <w:r w:rsidRPr="00771D4A">
        <w:rPr>
          <w:b/>
          <w:bCs/>
          <w:sz w:val="20"/>
          <w:szCs w:val="20"/>
        </w:rPr>
        <w:t xml:space="preserve">3. </w:t>
      </w:r>
      <w:r w:rsidR="004375C0" w:rsidRPr="00771D4A">
        <w:rPr>
          <w:b/>
          <w:bCs/>
          <w:sz w:val="20"/>
          <w:szCs w:val="20"/>
        </w:rPr>
        <w:t>Product Use</w:t>
      </w:r>
      <w:r w:rsidR="004375C0" w:rsidRPr="00771D4A">
        <w:rPr>
          <w:b/>
          <w:bCs/>
          <w:sz w:val="20"/>
          <w:szCs w:val="20"/>
        </w:rPr>
        <w:br/>
      </w:r>
      <w:r w:rsidR="006356F7" w:rsidRPr="00771D4A">
        <w:rPr>
          <w:sz w:val="20"/>
          <w:szCs w:val="20"/>
        </w:rPr>
        <w:t xml:space="preserve">You agree and acknowledge that </w:t>
      </w:r>
      <w:r w:rsidR="004375C0" w:rsidRPr="00771D4A">
        <w:rPr>
          <w:sz w:val="20"/>
          <w:szCs w:val="20"/>
        </w:rPr>
        <w:t>Dexcom will provide no more than one (1) Dexcom G7 15 Day sensor</w:t>
      </w:r>
      <w:r w:rsidR="004A7797" w:rsidRPr="00771D4A">
        <w:rPr>
          <w:sz w:val="20"/>
          <w:szCs w:val="20"/>
        </w:rPr>
        <w:t xml:space="preserve"> and/or one</w:t>
      </w:r>
      <w:r w:rsidR="00A52420" w:rsidRPr="00771D4A">
        <w:rPr>
          <w:sz w:val="20"/>
          <w:szCs w:val="20"/>
        </w:rPr>
        <w:t xml:space="preserve"> (1) </w:t>
      </w:r>
      <w:proofErr w:type="spellStart"/>
      <w:r w:rsidR="00A52420" w:rsidRPr="00771D4A">
        <w:rPr>
          <w:sz w:val="20"/>
          <w:szCs w:val="20"/>
        </w:rPr>
        <w:t>Stelo</w:t>
      </w:r>
      <w:proofErr w:type="spellEnd"/>
      <w:r w:rsidR="00A52420" w:rsidRPr="00771D4A">
        <w:rPr>
          <w:sz w:val="20"/>
          <w:szCs w:val="20"/>
        </w:rPr>
        <w:t xml:space="preserve"> Glucose Biosensor</w:t>
      </w:r>
      <w:r w:rsidR="004375C0" w:rsidRPr="00771D4A">
        <w:rPr>
          <w:sz w:val="20"/>
          <w:szCs w:val="20"/>
        </w:rPr>
        <w:t xml:space="preserve"> at no cost. You may apply the sensor only to the back of your own upper arm, only during the trial period, and using your own personal smartphone.</w:t>
      </w:r>
    </w:p>
    <w:p w14:paraId="7F859701" w14:textId="50243D87" w:rsidR="001A4CE2" w:rsidRPr="00771D4A" w:rsidRDefault="004375C0">
      <w:pPr>
        <w:rPr>
          <w:sz w:val="20"/>
          <w:szCs w:val="20"/>
        </w:rPr>
      </w:pPr>
      <w:r w:rsidRPr="00771D4A">
        <w:rPr>
          <w:sz w:val="20"/>
          <w:szCs w:val="20"/>
        </w:rPr>
        <w:lastRenderedPageBreak/>
        <w:t>You must dispose of or return any unused Product</w:t>
      </w:r>
      <w:r w:rsidR="00E3726C" w:rsidRPr="00771D4A">
        <w:rPr>
          <w:sz w:val="20"/>
          <w:szCs w:val="20"/>
        </w:rPr>
        <w:t>s</w:t>
      </w:r>
      <w:r w:rsidRPr="00771D4A">
        <w:rPr>
          <w:sz w:val="20"/>
          <w:szCs w:val="20"/>
        </w:rPr>
        <w:t xml:space="preserve"> within </w:t>
      </w:r>
      <w:r w:rsidR="00DC2082" w:rsidRPr="00771D4A">
        <w:rPr>
          <w:sz w:val="20"/>
          <w:szCs w:val="20"/>
        </w:rPr>
        <w:t xml:space="preserve">ninety </w:t>
      </w:r>
      <w:r w:rsidRPr="00771D4A">
        <w:rPr>
          <w:sz w:val="20"/>
          <w:szCs w:val="20"/>
        </w:rPr>
        <w:t>(</w:t>
      </w:r>
      <w:r w:rsidR="00DC2082" w:rsidRPr="00771D4A">
        <w:rPr>
          <w:sz w:val="20"/>
          <w:szCs w:val="20"/>
        </w:rPr>
        <w:t>9</w:t>
      </w:r>
      <w:r w:rsidRPr="00771D4A">
        <w:rPr>
          <w:sz w:val="20"/>
          <w:szCs w:val="20"/>
        </w:rPr>
        <w:t xml:space="preserve">0) days of the </w:t>
      </w:r>
      <w:r w:rsidR="00CC5EA4" w:rsidRPr="00771D4A">
        <w:rPr>
          <w:sz w:val="20"/>
          <w:szCs w:val="20"/>
        </w:rPr>
        <w:t xml:space="preserve">date you </w:t>
      </w:r>
      <w:r w:rsidR="00AE16EB" w:rsidRPr="00771D4A">
        <w:rPr>
          <w:sz w:val="20"/>
          <w:szCs w:val="20"/>
        </w:rPr>
        <w:t>agree to these Terms and Conditions</w:t>
      </w:r>
      <w:r w:rsidRPr="00771D4A">
        <w:rPr>
          <w:sz w:val="20"/>
          <w:szCs w:val="20"/>
        </w:rPr>
        <w:t>.</w:t>
      </w:r>
    </w:p>
    <w:p w14:paraId="42FEF7E6" w14:textId="6357554F" w:rsidR="001A4CE2" w:rsidRPr="00771D4A" w:rsidRDefault="00A52420">
      <w:pPr>
        <w:rPr>
          <w:sz w:val="20"/>
          <w:szCs w:val="20"/>
        </w:rPr>
      </w:pPr>
      <w:r w:rsidRPr="00771D4A">
        <w:rPr>
          <w:b/>
          <w:bCs/>
          <w:sz w:val="20"/>
          <w:szCs w:val="20"/>
        </w:rPr>
        <w:t>4</w:t>
      </w:r>
      <w:r w:rsidR="004375C0" w:rsidRPr="00771D4A">
        <w:rPr>
          <w:b/>
          <w:bCs/>
          <w:sz w:val="20"/>
          <w:szCs w:val="20"/>
        </w:rPr>
        <w:t>. Restrictions</w:t>
      </w:r>
      <w:r w:rsidR="004375C0" w:rsidRPr="00771D4A">
        <w:rPr>
          <w:sz w:val="20"/>
          <w:szCs w:val="20"/>
        </w:rPr>
        <w:br/>
        <w:t>You agree that you will not: (a) use the</w:t>
      </w:r>
      <w:r w:rsidR="00F11E33" w:rsidRPr="00771D4A">
        <w:rPr>
          <w:sz w:val="20"/>
          <w:szCs w:val="20"/>
        </w:rPr>
        <w:t>se</w:t>
      </w:r>
      <w:r w:rsidR="004375C0" w:rsidRPr="00771D4A">
        <w:rPr>
          <w:sz w:val="20"/>
          <w:szCs w:val="20"/>
        </w:rPr>
        <w:t xml:space="preserve"> Product</w:t>
      </w:r>
      <w:r w:rsidR="00F11E33" w:rsidRPr="00771D4A">
        <w:rPr>
          <w:sz w:val="20"/>
          <w:szCs w:val="20"/>
        </w:rPr>
        <w:t>s</w:t>
      </w:r>
      <w:r w:rsidR="004375C0" w:rsidRPr="00771D4A">
        <w:rPr>
          <w:sz w:val="20"/>
          <w:szCs w:val="20"/>
        </w:rPr>
        <w:t xml:space="preserve"> on anyone other than yourself; (b) use the Product</w:t>
      </w:r>
      <w:r w:rsidR="00F11E33" w:rsidRPr="00771D4A">
        <w:rPr>
          <w:sz w:val="20"/>
          <w:szCs w:val="20"/>
        </w:rPr>
        <w:t>s</w:t>
      </w:r>
      <w:r w:rsidR="004375C0" w:rsidRPr="00771D4A">
        <w:rPr>
          <w:sz w:val="20"/>
          <w:szCs w:val="20"/>
        </w:rPr>
        <w:t xml:space="preserve"> after the trial period; (c) discuss or promote the Take Home Trial with patients or other healthcare providers</w:t>
      </w:r>
      <w:r w:rsidR="00713396" w:rsidRPr="00771D4A">
        <w:rPr>
          <w:sz w:val="20"/>
          <w:szCs w:val="20"/>
        </w:rPr>
        <w:t xml:space="preserve">, </w:t>
      </w:r>
      <w:r w:rsidR="00F16649" w:rsidRPr="00771D4A">
        <w:rPr>
          <w:sz w:val="20"/>
          <w:szCs w:val="20"/>
        </w:rPr>
        <w:t xml:space="preserve">or </w:t>
      </w:r>
      <w:r w:rsidR="00713396" w:rsidRPr="00771D4A">
        <w:rPr>
          <w:sz w:val="20"/>
          <w:szCs w:val="20"/>
        </w:rPr>
        <w:t>healthcare students</w:t>
      </w:r>
      <w:r w:rsidR="004375C0" w:rsidRPr="00771D4A">
        <w:rPr>
          <w:sz w:val="20"/>
          <w:szCs w:val="20"/>
        </w:rPr>
        <w:t>; (d) use the Product</w:t>
      </w:r>
      <w:r w:rsidR="00F11E33" w:rsidRPr="00771D4A">
        <w:rPr>
          <w:sz w:val="20"/>
          <w:szCs w:val="20"/>
        </w:rPr>
        <w:t>s</w:t>
      </w:r>
      <w:r w:rsidR="004375C0" w:rsidRPr="00771D4A">
        <w:rPr>
          <w:sz w:val="20"/>
          <w:szCs w:val="20"/>
        </w:rPr>
        <w:t xml:space="preserve"> for research purposes; (e) copy, modify, reverse engineer, or create derivative works from the Product</w:t>
      </w:r>
      <w:r w:rsidR="00F11E33" w:rsidRPr="00771D4A">
        <w:rPr>
          <w:sz w:val="20"/>
          <w:szCs w:val="20"/>
        </w:rPr>
        <w:t>s</w:t>
      </w:r>
      <w:r w:rsidR="004375C0" w:rsidRPr="00771D4A">
        <w:rPr>
          <w:sz w:val="20"/>
          <w:szCs w:val="20"/>
        </w:rPr>
        <w:t>; (f) use the Product</w:t>
      </w:r>
      <w:r w:rsidR="00F11E33" w:rsidRPr="00771D4A">
        <w:rPr>
          <w:sz w:val="20"/>
          <w:szCs w:val="20"/>
        </w:rPr>
        <w:t>s</w:t>
      </w:r>
      <w:r w:rsidR="004375C0" w:rsidRPr="00771D4A">
        <w:rPr>
          <w:sz w:val="20"/>
          <w:szCs w:val="20"/>
        </w:rPr>
        <w:t xml:space="preserve"> to develop or evaluate competing products or services; or (g) sell, transfer, bill for, </w:t>
      </w:r>
      <w:r w:rsidR="005D05B4" w:rsidRPr="00771D4A">
        <w:rPr>
          <w:sz w:val="20"/>
          <w:szCs w:val="20"/>
        </w:rPr>
        <w:t xml:space="preserve">barter, return for credit, </w:t>
      </w:r>
      <w:r w:rsidR="004375C0" w:rsidRPr="00771D4A">
        <w:rPr>
          <w:sz w:val="20"/>
          <w:szCs w:val="20"/>
        </w:rPr>
        <w:t>or seek reimbursement for the Product</w:t>
      </w:r>
      <w:r w:rsidR="00F11E33" w:rsidRPr="00771D4A">
        <w:rPr>
          <w:sz w:val="20"/>
          <w:szCs w:val="20"/>
        </w:rPr>
        <w:t>s</w:t>
      </w:r>
      <w:r w:rsidR="004375C0" w:rsidRPr="00771D4A">
        <w:rPr>
          <w:sz w:val="20"/>
          <w:szCs w:val="20"/>
        </w:rPr>
        <w:t xml:space="preserve"> from any patient, insurer, payor, or government healthcare program.</w:t>
      </w:r>
    </w:p>
    <w:p w14:paraId="4A791A2E" w14:textId="34FF5858" w:rsidR="001A4CE2" w:rsidRPr="00771D4A" w:rsidRDefault="004375C0">
      <w:pPr>
        <w:rPr>
          <w:sz w:val="20"/>
          <w:szCs w:val="20"/>
        </w:rPr>
      </w:pPr>
      <w:r w:rsidRPr="00771D4A">
        <w:rPr>
          <w:sz w:val="20"/>
          <w:szCs w:val="20"/>
        </w:rPr>
        <w:t>You certify that the Product</w:t>
      </w:r>
      <w:r w:rsidR="00F11E33" w:rsidRPr="00771D4A">
        <w:rPr>
          <w:sz w:val="20"/>
          <w:szCs w:val="20"/>
        </w:rPr>
        <w:t>s</w:t>
      </w:r>
      <w:r w:rsidRPr="00771D4A">
        <w:rPr>
          <w:sz w:val="20"/>
          <w:szCs w:val="20"/>
        </w:rPr>
        <w:t xml:space="preserve"> will not be billed, sold, traded, or reimbursed in any way.</w:t>
      </w:r>
    </w:p>
    <w:p w14:paraId="6DFE55C4" w14:textId="7CB557BB" w:rsidR="00D4462F" w:rsidRPr="00771D4A" w:rsidRDefault="008C4998">
      <w:pPr>
        <w:rPr>
          <w:sz w:val="20"/>
          <w:szCs w:val="20"/>
        </w:rPr>
      </w:pPr>
      <w:r w:rsidRPr="00771D4A">
        <w:rPr>
          <w:b/>
          <w:bCs/>
          <w:sz w:val="20"/>
          <w:szCs w:val="20"/>
        </w:rPr>
        <w:t>5</w:t>
      </w:r>
      <w:r w:rsidR="004375C0" w:rsidRPr="00771D4A">
        <w:rPr>
          <w:b/>
          <w:bCs/>
          <w:sz w:val="20"/>
          <w:szCs w:val="20"/>
        </w:rPr>
        <w:t>. No Inducement</w:t>
      </w:r>
      <w:r w:rsidR="00DA47DF" w:rsidRPr="00771D4A">
        <w:rPr>
          <w:b/>
          <w:bCs/>
          <w:sz w:val="20"/>
          <w:szCs w:val="20"/>
        </w:rPr>
        <w:t xml:space="preserve">; </w:t>
      </w:r>
      <w:r w:rsidR="009461E1" w:rsidRPr="00771D4A">
        <w:rPr>
          <w:b/>
          <w:bCs/>
          <w:sz w:val="20"/>
          <w:szCs w:val="20"/>
        </w:rPr>
        <w:t>Transparency</w:t>
      </w:r>
      <w:r w:rsidR="004375C0" w:rsidRPr="00771D4A">
        <w:rPr>
          <w:sz w:val="20"/>
          <w:szCs w:val="20"/>
        </w:rPr>
        <w:br/>
      </w:r>
      <w:r w:rsidR="00D4462F" w:rsidRPr="00771D4A">
        <w:rPr>
          <w:sz w:val="20"/>
          <w:szCs w:val="20"/>
        </w:rPr>
        <w:t>You agree and acknowledge that t</w:t>
      </w:r>
      <w:r w:rsidR="004375C0" w:rsidRPr="00771D4A">
        <w:rPr>
          <w:sz w:val="20"/>
          <w:szCs w:val="20"/>
        </w:rPr>
        <w:t>he Product</w:t>
      </w:r>
      <w:r w:rsidR="00F11E33" w:rsidRPr="00771D4A">
        <w:rPr>
          <w:sz w:val="20"/>
          <w:szCs w:val="20"/>
        </w:rPr>
        <w:t>s</w:t>
      </w:r>
      <w:r w:rsidR="004375C0" w:rsidRPr="00771D4A">
        <w:rPr>
          <w:sz w:val="20"/>
          <w:szCs w:val="20"/>
        </w:rPr>
        <w:t xml:space="preserve"> </w:t>
      </w:r>
      <w:r w:rsidR="00F11E33" w:rsidRPr="00771D4A">
        <w:rPr>
          <w:sz w:val="20"/>
          <w:szCs w:val="20"/>
        </w:rPr>
        <w:t>are</w:t>
      </w:r>
      <w:r w:rsidR="004375C0" w:rsidRPr="00771D4A">
        <w:rPr>
          <w:sz w:val="20"/>
          <w:szCs w:val="20"/>
        </w:rPr>
        <w:t xml:space="preserve"> provided solely for </w:t>
      </w:r>
      <w:r w:rsidR="00496B03" w:rsidRPr="00771D4A">
        <w:rPr>
          <w:sz w:val="20"/>
          <w:szCs w:val="20"/>
        </w:rPr>
        <w:t xml:space="preserve">education and </w:t>
      </w:r>
      <w:r w:rsidR="004375C0" w:rsidRPr="00771D4A">
        <w:rPr>
          <w:sz w:val="20"/>
          <w:szCs w:val="20"/>
        </w:rPr>
        <w:t>evaluation purposes and not to influence or induce the purchase, prescription, recommendation, or preferential treatment of any Dexcom product.</w:t>
      </w:r>
      <w:r w:rsidR="00F11E33" w:rsidRPr="00771D4A">
        <w:rPr>
          <w:sz w:val="20"/>
          <w:szCs w:val="20"/>
        </w:rPr>
        <w:t xml:space="preserve"> The provision of such Products is not based on any actual or anticipated volume or value of any referrals by you to Dexcom.</w:t>
      </w:r>
      <w:r w:rsidR="00DF01DA" w:rsidRPr="00771D4A">
        <w:rPr>
          <w:sz w:val="20"/>
          <w:szCs w:val="20"/>
        </w:rPr>
        <w:t xml:space="preserve"> </w:t>
      </w:r>
    </w:p>
    <w:p w14:paraId="22EE3892" w14:textId="2A4D2E84" w:rsidR="001A4CE2" w:rsidRPr="00771D4A" w:rsidRDefault="00DF01DA">
      <w:pPr>
        <w:rPr>
          <w:sz w:val="20"/>
          <w:szCs w:val="20"/>
        </w:rPr>
      </w:pPr>
      <w:r w:rsidRPr="00771D4A">
        <w:rPr>
          <w:sz w:val="20"/>
          <w:szCs w:val="20"/>
        </w:rPr>
        <w:t>You shall comply with all applicable transparency obligations</w:t>
      </w:r>
      <w:r w:rsidR="00DA47DF" w:rsidRPr="00771D4A">
        <w:rPr>
          <w:sz w:val="20"/>
          <w:szCs w:val="20"/>
        </w:rPr>
        <w:t xml:space="preserve">, including any approval, disclosure, and/or registration </w:t>
      </w:r>
      <w:proofErr w:type="gramStart"/>
      <w:r w:rsidR="00DA47DF" w:rsidRPr="00771D4A">
        <w:rPr>
          <w:sz w:val="20"/>
          <w:szCs w:val="20"/>
        </w:rPr>
        <w:t>requirements, as the case may be</w:t>
      </w:r>
      <w:proofErr w:type="gramEnd"/>
      <w:r w:rsidR="00DA47DF" w:rsidRPr="00771D4A">
        <w:rPr>
          <w:sz w:val="20"/>
          <w:szCs w:val="20"/>
        </w:rPr>
        <w:t xml:space="preserve">. </w:t>
      </w:r>
    </w:p>
    <w:p w14:paraId="27FCF50F" w14:textId="255B9F97" w:rsidR="001A4CE2" w:rsidRPr="00771D4A" w:rsidRDefault="00175973">
      <w:pPr>
        <w:rPr>
          <w:sz w:val="20"/>
          <w:szCs w:val="20"/>
        </w:rPr>
      </w:pPr>
      <w:r w:rsidRPr="00771D4A">
        <w:rPr>
          <w:b/>
          <w:bCs/>
          <w:sz w:val="20"/>
          <w:szCs w:val="20"/>
        </w:rPr>
        <w:t>6</w:t>
      </w:r>
      <w:r w:rsidR="004375C0" w:rsidRPr="00771D4A">
        <w:rPr>
          <w:b/>
          <w:bCs/>
          <w:sz w:val="20"/>
          <w:szCs w:val="20"/>
        </w:rPr>
        <w:t>. Data and Privacy</w:t>
      </w:r>
      <w:r w:rsidR="004375C0" w:rsidRPr="00771D4A">
        <w:rPr>
          <w:sz w:val="20"/>
          <w:szCs w:val="20"/>
        </w:rPr>
        <w:br/>
        <w:t>While worn, the sensor</w:t>
      </w:r>
      <w:r w:rsidR="00F11E33" w:rsidRPr="00771D4A">
        <w:rPr>
          <w:sz w:val="20"/>
          <w:szCs w:val="20"/>
        </w:rPr>
        <w:t>s</w:t>
      </w:r>
      <w:r w:rsidR="004375C0" w:rsidRPr="00771D4A">
        <w:rPr>
          <w:sz w:val="20"/>
          <w:szCs w:val="20"/>
        </w:rPr>
        <w:t xml:space="preserve"> collect health-related data. Data collected through the Dexcom G7</w:t>
      </w:r>
      <w:r w:rsidR="007863CB" w:rsidRPr="00771D4A">
        <w:rPr>
          <w:sz w:val="20"/>
          <w:szCs w:val="20"/>
        </w:rPr>
        <w:t xml:space="preserve"> app</w:t>
      </w:r>
      <w:r w:rsidR="004375C0" w:rsidRPr="00771D4A">
        <w:rPr>
          <w:sz w:val="20"/>
          <w:szCs w:val="20"/>
        </w:rPr>
        <w:t xml:space="preserve"> </w:t>
      </w:r>
      <w:r w:rsidR="006334EC" w:rsidRPr="00771D4A">
        <w:rPr>
          <w:sz w:val="20"/>
          <w:szCs w:val="20"/>
        </w:rPr>
        <w:t xml:space="preserve">or </w:t>
      </w:r>
      <w:r w:rsidR="008C4998" w:rsidRPr="00771D4A">
        <w:rPr>
          <w:sz w:val="20"/>
          <w:szCs w:val="20"/>
        </w:rPr>
        <w:t xml:space="preserve">the </w:t>
      </w:r>
      <w:proofErr w:type="spellStart"/>
      <w:r w:rsidR="006334EC" w:rsidRPr="00771D4A">
        <w:rPr>
          <w:sz w:val="20"/>
          <w:szCs w:val="20"/>
        </w:rPr>
        <w:t>Stelo</w:t>
      </w:r>
      <w:proofErr w:type="spellEnd"/>
      <w:r w:rsidR="006334EC" w:rsidRPr="00771D4A">
        <w:rPr>
          <w:sz w:val="20"/>
          <w:szCs w:val="20"/>
        </w:rPr>
        <w:t xml:space="preserve"> </w:t>
      </w:r>
      <w:r w:rsidR="007863CB" w:rsidRPr="00771D4A">
        <w:rPr>
          <w:sz w:val="20"/>
          <w:szCs w:val="20"/>
        </w:rPr>
        <w:t xml:space="preserve">by Dexcom </w:t>
      </w:r>
      <w:r w:rsidR="004375C0" w:rsidRPr="00771D4A">
        <w:rPr>
          <w:sz w:val="20"/>
          <w:szCs w:val="20"/>
        </w:rPr>
        <w:t xml:space="preserve">app is handled in accordance with </w:t>
      </w:r>
      <w:r w:rsidRPr="00771D4A">
        <w:rPr>
          <w:sz w:val="20"/>
          <w:szCs w:val="20"/>
        </w:rPr>
        <w:t>the</w:t>
      </w:r>
      <w:r w:rsidR="004375C0" w:rsidRPr="00771D4A">
        <w:rPr>
          <w:sz w:val="20"/>
          <w:szCs w:val="20"/>
        </w:rPr>
        <w:t xml:space="preserve"> app terms of use and privacy policy available at </w:t>
      </w:r>
      <w:hyperlink r:id="rId12" w:history="1">
        <w:r w:rsidR="00F16C5B" w:rsidRPr="00771D4A">
          <w:rPr>
            <w:rStyle w:val="Hyperlink"/>
            <w:sz w:val="20"/>
            <w:szCs w:val="20"/>
          </w:rPr>
          <w:t>https://www.dexcom.com</w:t>
        </w:r>
      </w:hyperlink>
      <w:r w:rsidR="00F16C5B" w:rsidRPr="00771D4A">
        <w:rPr>
          <w:sz w:val="20"/>
          <w:szCs w:val="20"/>
        </w:rPr>
        <w:t xml:space="preserve"> or </w:t>
      </w:r>
      <w:hyperlink r:id="rId13" w:history="1">
        <w:r w:rsidR="00293D88" w:rsidRPr="00771D4A">
          <w:rPr>
            <w:rStyle w:val="Hyperlink"/>
            <w:sz w:val="20"/>
            <w:szCs w:val="20"/>
          </w:rPr>
          <w:t>https://www.stelo.com</w:t>
        </w:r>
      </w:hyperlink>
      <w:r w:rsidR="00293D88" w:rsidRPr="00771D4A">
        <w:rPr>
          <w:sz w:val="20"/>
          <w:szCs w:val="20"/>
        </w:rPr>
        <w:t>, respectively</w:t>
      </w:r>
      <w:r w:rsidR="004375C0" w:rsidRPr="00771D4A">
        <w:rPr>
          <w:sz w:val="20"/>
          <w:szCs w:val="20"/>
        </w:rPr>
        <w:t>.</w:t>
      </w:r>
    </w:p>
    <w:p w14:paraId="020BA1AF" w14:textId="1DBFFE51" w:rsidR="009461E1" w:rsidRPr="00771D4A" w:rsidRDefault="009461E1">
      <w:pPr>
        <w:rPr>
          <w:sz w:val="20"/>
          <w:szCs w:val="20"/>
        </w:rPr>
      </w:pPr>
      <w:r w:rsidRPr="00771D4A">
        <w:rPr>
          <w:sz w:val="20"/>
          <w:szCs w:val="20"/>
        </w:rPr>
        <w:t xml:space="preserve">You understand that Dexcom will be tracking, and if necessary, reporting and might be subject to disclosure requirements with respect to the provision of the Products. </w:t>
      </w:r>
    </w:p>
    <w:p w14:paraId="2E5206E2" w14:textId="7AFE1A03" w:rsidR="001A4CE2" w:rsidRPr="00771D4A" w:rsidRDefault="00175973">
      <w:pPr>
        <w:rPr>
          <w:sz w:val="20"/>
          <w:szCs w:val="20"/>
        </w:rPr>
      </w:pPr>
      <w:r w:rsidRPr="00771D4A">
        <w:rPr>
          <w:b/>
          <w:bCs/>
          <w:sz w:val="20"/>
          <w:szCs w:val="20"/>
        </w:rPr>
        <w:t>7</w:t>
      </w:r>
      <w:r w:rsidR="004375C0" w:rsidRPr="00771D4A">
        <w:rPr>
          <w:b/>
          <w:bCs/>
          <w:sz w:val="20"/>
          <w:szCs w:val="20"/>
        </w:rPr>
        <w:t>. Support</w:t>
      </w:r>
      <w:r w:rsidR="004375C0" w:rsidRPr="00771D4A">
        <w:rPr>
          <w:b/>
          <w:bCs/>
          <w:sz w:val="20"/>
          <w:szCs w:val="20"/>
        </w:rPr>
        <w:br/>
      </w:r>
      <w:r w:rsidR="00F16649" w:rsidRPr="00771D4A">
        <w:rPr>
          <w:sz w:val="20"/>
          <w:szCs w:val="20"/>
        </w:rPr>
        <w:t xml:space="preserve">For the Dexcom G7 15 Day Continuous Glucose Monitoring System, </w:t>
      </w:r>
      <w:r w:rsidR="004375C0" w:rsidRPr="00771D4A">
        <w:rPr>
          <w:sz w:val="20"/>
          <w:szCs w:val="20"/>
        </w:rPr>
        <w:t xml:space="preserve">Technical Support is available at </w:t>
      </w:r>
      <w:r w:rsidR="003E6AD9" w:rsidRPr="00771D4A">
        <w:rPr>
          <w:sz w:val="20"/>
          <w:szCs w:val="20"/>
        </w:rPr>
        <w:t>1-</w:t>
      </w:r>
      <w:r w:rsidR="000C2377" w:rsidRPr="00771D4A">
        <w:rPr>
          <w:sz w:val="20"/>
          <w:szCs w:val="20"/>
        </w:rPr>
        <w:t>844-607-8398</w:t>
      </w:r>
      <w:r w:rsidR="004375C0" w:rsidRPr="00771D4A">
        <w:rPr>
          <w:sz w:val="20"/>
          <w:szCs w:val="20"/>
        </w:rPr>
        <w:t xml:space="preserve">, </w:t>
      </w:r>
      <w:r w:rsidR="00CE3368" w:rsidRPr="00771D4A">
        <w:rPr>
          <w:sz w:val="20"/>
          <w:szCs w:val="20"/>
        </w:rPr>
        <w:t xml:space="preserve">24 hours a day </w:t>
      </w:r>
      <w:r w:rsidR="003E6AD9" w:rsidRPr="00771D4A">
        <w:rPr>
          <w:sz w:val="20"/>
          <w:szCs w:val="20"/>
        </w:rPr>
        <w:t xml:space="preserve">/ </w:t>
      </w:r>
      <w:r w:rsidR="00CE3368" w:rsidRPr="00771D4A">
        <w:rPr>
          <w:sz w:val="20"/>
          <w:szCs w:val="20"/>
        </w:rPr>
        <w:t>7</w:t>
      </w:r>
      <w:r w:rsidR="004375C0" w:rsidRPr="00771D4A">
        <w:rPr>
          <w:sz w:val="20"/>
          <w:szCs w:val="20"/>
        </w:rPr>
        <w:t xml:space="preserve"> days a week. </w:t>
      </w:r>
      <w:r w:rsidR="00644A1E" w:rsidRPr="00771D4A">
        <w:rPr>
          <w:sz w:val="20"/>
          <w:szCs w:val="20"/>
        </w:rPr>
        <w:t xml:space="preserve">For </w:t>
      </w:r>
      <w:r w:rsidR="00F16649" w:rsidRPr="00771D4A">
        <w:rPr>
          <w:sz w:val="20"/>
          <w:szCs w:val="20"/>
        </w:rPr>
        <w:t xml:space="preserve">the </w:t>
      </w:r>
      <w:proofErr w:type="spellStart"/>
      <w:r w:rsidR="00644A1E" w:rsidRPr="00771D4A">
        <w:rPr>
          <w:sz w:val="20"/>
          <w:szCs w:val="20"/>
        </w:rPr>
        <w:t>S</w:t>
      </w:r>
      <w:r w:rsidR="00E160A1" w:rsidRPr="00771D4A">
        <w:rPr>
          <w:sz w:val="20"/>
          <w:szCs w:val="20"/>
        </w:rPr>
        <w:t>telo</w:t>
      </w:r>
      <w:proofErr w:type="spellEnd"/>
      <w:r w:rsidR="00E160A1" w:rsidRPr="00771D4A">
        <w:rPr>
          <w:sz w:val="20"/>
          <w:szCs w:val="20"/>
        </w:rPr>
        <w:t xml:space="preserve"> </w:t>
      </w:r>
      <w:r w:rsidR="009C0FC9" w:rsidRPr="00771D4A">
        <w:rPr>
          <w:sz w:val="20"/>
          <w:szCs w:val="20"/>
        </w:rPr>
        <w:t xml:space="preserve">Glucose Biosensor </w:t>
      </w:r>
      <w:r w:rsidR="00A30F79" w:rsidRPr="00771D4A">
        <w:rPr>
          <w:sz w:val="20"/>
          <w:szCs w:val="20"/>
        </w:rPr>
        <w:t>System, you may direct questions to Dexcom’s virtual assistant</w:t>
      </w:r>
      <w:r w:rsidR="00F929B2" w:rsidRPr="00771D4A">
        <w:rPr>
          <w:sz w:val="20"/>
          <w:szCs w:val="20"/>
        </w:rPr>
        <w:t>,</w:t>
      </w:r>
      <w:r w:rsidR="009C0FC9" w:rsidRPr="00771D4A">
        <w:rPr>
          <w:sz w:val="20"/>
          <w:szCs w:val="20"/>
        </w:rPr>
        <w:t xml:space="preserve"> </w:t>
      </w:r>
      <w:proofErr w:type="spellStart"/>
      <w:r w:rsidR="009C0FC9" w:rsidRPr="00771D4A">
        <w:rPr>
          <w:sz w:val="20"/>
          <w:szCs w:val="20"/>
        </w:rPr>
        <w:t>Stelo</w:t>
      </w:r>
      <w:r w:rsidR="00F929B2" w:rsidRPr="00771D4A">
        <w:rPr>
          <w:sz w:val="20"/>
          <w:szCs w:val="20"/>
        </w:rPr>
        <w:t>B</w:t>
      </w:r>
      <w:r w:rsidR="009C0FC9" w:rsidRPr="00771D4A">
        <w:rPr>
          <w:sz w:val="20"/>
          <w:szCs w:val="20"/>
        </w:rPr>
        <w:t>ot</w:t>
      </w:r>
      <w:proofErr w:type="spellEnd"/>
      <w:r w:rsidR="00F929B2" w:rsidRPr="00771D4A">
        <w:rPr>
          <w:sz w:val="20"/>
          <w:szCs w:val="20"/>
        </w:rPr>
        <w:t>,</w:t>
      </w:r>
      <w:r w:rsidR="009C0FC9" w:rsidRPr="00771D4A">
        <w:rPr>
          <w:sz w:val="20"/>
          <w:szCs w:val="20"/>
        </w:rPr>
        <w:t xml:space="preserve"> </w:t>
      </w:r>
      <w:r w:rsidR="00F929B2" w:rsidRPr="00771D4A">
        <w:rPr>
          <w:sz w:val="20"/>
          <w:szCs w:val="20"/>
        </w:rPr>
        <w:t>located</w:t>
      </w:r>
      <w:r w:rsidR="009C0FC9" w:rsidRPr="00771D4A">
        <w:rPr>
          <w:sz w:val="20"/>
          <w:szCs w:val="20"/>
        </w:rPr>
        <w:t xml:space="preserve"> at: </w:t>
      </w:r>
      <w:hyperlink r:id="rId14" w:history="1">
        <w:r w:rsidR="00F929B2" w:rsidRPr="00771D4A">
          <w:rPr>
            <w:rStyle w:val="Hyperlink"/>
            <w:sz w:val="20"/>
            <w:szCs w:val="20"/>
          </w:rPr>
          <w:t>www.stelo.com</w:t>
        </w:r>
      </w:hyperlink>
      <w:r w:rsidR="009C0FC9" w:rsidRPr="00771D4A">
        <w:rPr>
          <w:sz w:val="20"/>
          <w:szCs w:val="20"/>
        </w:rPr>
        <w:t xml:space="preserve">. </w:t>
      </w:r>
      <w:r w:rsidR="004375C0" w:rsidRPr="00771D4A">
        <w:rPr>
          <w:sz w:val="20"/>
          <w:szCs w:val="20"/>
        </w:rPr>
        <w:t xml:space="preserve">Lost or broken </w:t>
      </w:r>
      <w:r w:rsidR="009461E1" w:rsidRPr="00771D4A">
        <w:rPr>
          <w:sz w:val="20"/>
          <w:szCs w:val="20"/>
        </w:rPr>
        <w:t xml:space="preserve">Products </w:t>
      </w:r>
      <w:r w:rsidR="004375C0" w:rsidRPr="00771D4A">
        <w:rPr>
          <w:sz w:val="20"/>
          <w:szCs w:val="20"/>
        </w:rPr>
        <w:t>will not be replaced.</w:t>
      </w:r>
      <w:r w:rsidR="00644A1E" w:rsidRPr="00771D4A">
        <w:rPr>
          <w:sz w:val="20"/>
          <w:szCs w:val="20"/>
        </w:rPr>
        <w:t xml:space="preserve"> </w:t>
      </w:r>
    </w:p>
    <w:p w14:paraId="6AD59D5A" w14:textId="4571FC7D" w:rsidR="009B5641" w:rsidRPr="00771D4A" w:rsidRDefault="00F86D04" w:rsidP="00E80730">
      <w:pPr>
        <w:spacing w:after="0" w:line="240" w:lineRule="auto"/>
        <w:rPr>
          <w:b/>
          <w:bCs/>
          <w:sz w:val="20"/>
          <w:szCs w:val="20"/>
        </w:rPr>
      </w:pPr>
      <w:r w:rsidRPr="00771D4A">
        <w:rPr>
          <w:b/>
          <w:bCs/>
          <w:sz w:val="20"/>
          <w:szCs w:val="20"/>
        </w:rPr>
        <w:t>8</w:t>
      </w:r>
      <w:r w:rsidR="00E80730" w:rsidRPr="00771D4A">
        <w:rPr>
          <w:b/>
          <w:bCs/>
          <w:sz w:val="20"/>
          <w:szCs w:val="20"/>
        </w:rPr>
        <w:t>. L</w:t>
      </w:r>
      <w:r w:rsidR="009B5641" w:rsidRPr="00771D4A">
        <w:rPr>
          <w:b/>
          <w:bCs/>
          <w:sz w:val="20"/>
          <w:szCs w:val="20"/>
        </w:rPr>
        <w:t xml:space="preserve">icense </w:t>
      </w:r>
    </w:p>
    <w:p w14:paraId="20027F02" w14:textId="0138E7C5" w:rsidR="009B5641" w:rsidRPr="00771D4A" w:rsidRDefault="009B5641" w:rsidP="00E80730">
      <w:pPr>
        <w:spacing w:after="0" w:line="240" w:lineRule="auto"/>
        <w:rPr>
          <w:sz w:val="20"/>
          <w:szCs w:val="20"/>
        </w:rPr>
      </w:pPr>
      <w:r w:rsidRPr="00771D4A">
        <w:rPr>
          <w:sz w:val="20"/>
          <w:szCs w:val="20"/>
        </w:rPr>
        <w:t>Dexcom provides the</w:t>
      </w:r>
      <w:r w:rsidR="00E3726C" w:rsidRPr="00771D4A">
        <w:rPr>
          <w:sz w:val="20"/>
          <w:szCs w:val="20"/>
        </w:rPr>
        <w:t>se</w:t>
      </w:r>
      <w:r w:rsidRPr="00771D4A">
        <w:rPr>
          <w:sz w:val="20"/>
          <w:szCs w:val="20"/>
        </w:rPr>
        <w:t xml:space="preserve"> Product</w:t>
      </w:r>
      <w:r w:rsidR="00E3726C" w:rsidRPr="00771D4A">
        <w:rPr>
          <w:sz w:val="20"/>
          <w:szCs w:val="20"/>
        </w:rPr>
        <w:t>s</w:t>
      </w:r>
      <w:r w:rsidRPr="00771D4A">
        <w:rPr>
          <w:sz w:val="20"/>
          <w:szCs w:val="20"/>
        </w:rPr>
        <w:t xml:space="preserve"> to you at no cost and grants you a personal, non-transferable, non-exclusive license to use the Product</w:t>
      </w:r>
      <w:r w:rsidR="00E3726C" w:rsidRPr="00771D4A">
        <w:rPr>
          <w:sz w:val="20"/>
          <w:szCs w:val="20"/>
        </w:rPr>
        <w:t>s</w:t>
      </w:r>
      <w:r w:rsidRPr="00771D4A">
        <w:rPr>
          <w:sz w:val="20"/>
          <w:szCs w:val="20"/>
        </w:rPr>
        <w:t xml:space="preserve"> solely for </w:t>
      </w:r>
      <w:r w:rsidR="009461E1" w:rsidRPr="00771D4A">
        <w:rPr>
          <w:sz w:val="20"/>
          <w:szCs w:val="20"/>
        </w:rPr>
        <w:t xml:space="preserve">education and </w:t>
      </w:r>
      <w:r w:rsidRPr="00771D4A">
        <w:rPr>
          <w:sz w:val="20"/>
          <w:szCs w:val="20"/>
        </w:rPr>
        <w:t xml:space="preserve">evaluation purposes and in accordance with </w:t>
      </w:r>
      <w:r w:rsidR="00B151D2" w:rsidRPr="00771D4A">
        <w:rPr>
          <w:sz w:val="20"/>
          <w:szCs w:val="20"/>
        </w:rPr>
        <w:t>these Terms and Conditions</w:t>
      </w:r>
      <w:r w:rsidRPr="00771D4A">
        <w:rPr>
          <w:sz w:val="20"/>
          <w:szCs w:val="20"/>
        </w:rPr>
        <w:t>.</w:t>
      </w:r>
    </w:p>
    <w:p w14:paraId="508B429F" w14:textId="77777777" w:rsidR="00B50312" w:rsidRPr="00771D4A" w:rsidRDefault="00B50312" w:rsidP="00E80730">
      <w:pPr>
        <w:spacing w:after="0" w:line="240" w:lineRule="auto"/>
        <w:rPr>
          <w:sz w:val="20"/>
          <w:szCs w:val="20"/>
        </w:rPr>
      </w:pPr>
    </w:p>
    <w:p w14:paraId="1BDEDC0D" w14:textId="7F201BA6" w:rsidR="001A4CE2" w:rsidRPr="00771D4A" w:rsidRDefault="00E3726C">
      <w:pPr>
        <w:rPr>
          <w:sz w:val="20"/>
          <w:szCs w:val="20"/>
        </w:rPr>
      </w:pPr>
      <w:r w:rsidRPr="00771D4A">
        <w:rPr>
          <w:b/>
          <w:bCs/>
          <w:sz w:val="20"/>
          <w:szCs w:val="20"/>
        </w:rPr>
        <w:t>9</w:t>
      </w:r>
      <w:r w:rsidR="004375C0" w:rsidRPr="00771D4A">
        <w:rPr>
          <w:b/>
          <w:bCs/>
          <w:sz w:val="20"/>
          <w:szCs w:val="20"/>
        </w:rPr>
        <w:t>. Warranty Disclaimer and Limitation of Liability</w:t>
      </w:r>
      <w:r w:rsidR="004375C0" w:rsidRPr="00771D4A">
        <w:rPr>
          <w:b/>
          <w:bCs/>
          <w:sz w:val="20"/>
          <w:szCs w:val="20"/>
        </w:rPr>
        <w:br/>
      </w:r>
      <w:r w:rsidR="004375C0" w:rsidRPr="00771D4A">
        <w:rPr>
          <w:sz w:val="20"/>
          <w:szCs w:val="20"/>
        </w:rPr>
        <w:t>The Product</w:t>
      </w:r>
      <w:r w:rsidRPr="00771D4A">
        <w:rPr>
          <w:sz w:val="20"/>
          <w:szCs w:val="20"/>
        </w:rPr>
        <w:t>s</w:t>
      </w:r>
      <w:r w:rsidR="004375C0" w:rsidRPr="00771D4A">
        <w:rPr>
          <w:sz w:val="20"/>
          <w:szCs w:val="20"/>
        </w:rPr>
        <w:t xml:space="preserve"> </w:t>
      </w:r>
      <w:r w:rsidRPr="00771D4A">
        <w:rPr>
          <w:sz w:val="20"/>
          <w:szCs w:val="20"/>
        </w:rPr>
        <w:t>are</w:t>
      </w:r>
      <w:r w:rsidR="004375C0" w:rsidRPr="00771D4A">
        <w:rPr>
          <w:sz w:val="20"/>
          <w:szCs w:val="20"/>
        </w:rPr>
        <w:t xml:space="preserve"> provided "as</w:t>
      </w:r>
      <w:r w:rsidR="006D317C" w:rsidRPr="00771D4A">
        <w:rPr>
          <w:sz w:val="20"/>
          <w:szCs w:val="20"/>
        </w:rPr>
        <w:t>-</w:t>
      </w:r>
      <w:r w:rsidR="004375C0" w:rsidRPr="00771D4A">
        <w:rPr>
          <w:sz w:val="20"/>
          <w:szCs w:val="20"/>
        </w:rPr>
        <w:t>is" and "as available," without warranties of any kind, express or implied, to the fullest extent permitted by law. To the fullest extent permitted by law, Dexcom shall not be liable for any damages arising from or related to your participation in the Take Home Trial or use of the Product</w:t>
      </w:r>
      <w:r w:rsidRPr="00771D4A">
        <w:rPr>
          <w:sz w:val="20"/>
          <w:szCs w:val="20"/>
        </w:rPr>
        <w:t>s</w:t>
      </w:r>
      <w:r w:rsidR="004375C0" w:rsidRPr="00771D4A">
        <w:rPr>
          <w:sz w:val="20"/>
          <w:szCs w:val="20"/>
        </w:rPr>
        <w:t>.</w:t>
      </w:r>
    </w:p>
    <w:p w14:paraId="4FACB14B" w14:textId="0DD19A28" w:rsidR="001A4CE2" w:rsidRPr="00771D4A" w:rsidRDefault="00E3726C">
      <w:pPr>
        <w:rPr>
          <w:sz w:val="20"/>
          <w:szCs w:val="20"/>
        </w:rPr>
      </w:pPr>
      <w:r w:rsidRPr="00771D4A">
        <w:rPr>
          <w:b/>
          <w:bCs/>
          <w:sz w:val="20"/>
          <w:szCs w:val="20"/>
        </w:rPr>
        <w:t>10</w:t>
      </w:r>
      <w:r w:rsidR="004375C0" w:rsidRPr="00771D4A">
        <w:rPr>
          <w:b/>
          <w:bCs/>
          <w:sz w:val="20"/>
          <w:szCs w:val="20"/>
        </w:rPr>
        <w:t>. Feedback</w:t>
      </w:r>
      <w:r w:rsidR="004375C0" w:rsidRPr="00771D4A">
        <w:rPr>
          <w:sz w:val="20"/>
          <w:szCs w:val="20"/>
        </w:rPr>
        <w:br/>
      </w:r>
      <w:r w:rsidR="00863EBF" w:rsidRPr="00771D4A">
        <w:rPr>
          <w:sz w:val="20"/>
          <w:szCs w:val="20"/>
        </w:rPr>
        <w:t>You acknowledge and agree that a</w:t>
      </w:r>
      <w:r w:rsidR="004375C0" w:rsidRPr="00771D4A">
        <w:rPr>
          <w:sz w:val="20"/>
          <w:szCs w:val="20"/>
        </w:rPr>
        <w:t>ny feedback you provide is voluntary and non-confidential. Dexcom may use such feedback without restriction or obligation.</w:t>
      </w:r>
    </w:p>
    <w:p w14:paraId="2F1A6A88" w14:textId="477C8EE6" w:rsidR="001A4CE2" w:rsidRPr="00771D4A" w:rsidRDefault="00B328E7">
      <w:pPr>
        <w:rPr>
          <w:sz w:val="20"/>
          <w:szCs w:val="20"/>
        </w:rPr>
      </w:pPr>
      <w:r w:rsidRPr="00771D4A">
        <w:rPr>
          <w:b/>
          <w:bCs/>
          <w:sz w:val="20"/>
          <w:szCs w:val="20"/>
        </w:rPr>
        <w:t>1</w:t>
      </w:r>
      <w:r w:rsidR="00E3726C" w:rsidRPr="00771D4A">
        <w:rPr>
          <w:b/>
          <w:bCs/>
          <w:sz w:val="20"/>
          <w:szCs w:val="20"/>
        </w:rPr>
        <w:t>1</w:t>
      </w:r>
      <w:r w:rsidR="004375C0" w:rsidRPr="00771D4A">
        <w:rPr>
          <w:b/>
          <w:bCs/>
          <w:sz w:val="20"/>
          <w:szCs w:val="20"/>
        </w:rPr>
        <w:t>. Participation and Termination</w:t>
      </w:r>
      <w:r w:rsidR="004375C0" w:rsidRPr="00771D4A">
        <w:rPr>
          <w:sz w:val="20"/>
          <w:szCs w:val="20"/>
        </w:rPr>
        <w:br/>
        <w:t>You may stop participating in the Take Home Trial at any time. Dexcom may terminate your participation at any time in its sole discretion.</w:t>
      </w:r>
    </w:p>
    <w:p w14:paraId="75741CFF" w14:textId="375F1D31" w:rsidR="00FF4399" w:rsidRPr="00771D4A" w:rsidRDefault="004375C0">
      <w:pPr>
        <w:rPr>
          <w:sz w:val="20"/>
          <w:szCs w:val="20"/>
        </w:rPr>
      </w:pPr>
      <w:r w:rsidRPr="00771D4A">
        <w:rPr>
          <w:b/>
          <w:bCs/>
          <w:sz w:val="20"/>
          <w:szCs w:val="20"/>
        </w:rPr>
        <w:t>1</w:t>
      </w:r>
      <w:r w:rsidR="00E3726C" w:rsidRPr="00771D4A">
        <w:rPr>
          <w:b/>
          <w:bCs/>
          <w:sz w:val="20"/>
          <w:szCs w:val="20"/>
        </w:rPr>
        <w:t>2</w:t>
      </w:r>
      <w:r w:rsidRPr="00771D4A">
        <w:rPr>
          <w:b/>
          <w:bCs/>
          <w:sz w:val="20"/>
          <w:szCs w:val="20"/>
        </w:rPr>
        <w:t>.</w:t>
      </w:r>
      <w:r w:rsidRPr="00771D4A">
        <w:rPr>
          <w:sz w:val="20"/>
          <w:szCs w:val="20"/>
        </w:rPr>
        <w:t xml:space="preserve"> </w:t>
      </w:r>
      <w:r w:rsidRPr="00771D4A">
        <w:rPr>
          <w:b/>
          <w:bCs/>
          <w:sz w:val="20"/>
          <w:szCs w:val="20"/>
        </w:rPr>
        <w:t>Consent</w:t>
      </w:r>
      <w:r w:rsidRPr="00771D4A">
        <w:rPr>
          <w:b/>
          <w:bCs/>
          <w:sz w:val="20"/>
          <w:szCs w:val="20"/>
        </w:rPr>
        <w:br/>
      </w:r>
      <w:r w:rsidR="002B17BF" w:rsidRPr="00771D4A">
        <w:rPr>
          <w:sz w:val="20"/>
          <w:szCs w:val="20"/>
        </w:rPr>
        <w:t>You agree and acknowledge</w:t>
      </w:r>
      <w:r w:rsidRPr="00771D4A">
        <w:rPr>
          <w:sz w:val="20"/>
          <w:szCs w:val="20"/>
        </w:rPr>
        <w:t xml:space="preserve"> that your participation</w:t>
      </w:r>
      <w:r w:rsidR="00F8563B" w:rsidRPr="00771D4A">
        <w:rPr>
          <w:sz w:val="20"/>
          <w:szCs w:val="20"/>
        </w:rPr>
        <w:t xml:space="preserve"> in the Take Home Trial</w:t>
      </w:r>
      <w:r w:rsidRPr="00771D4A">
        <w:rPr>
          <w:sz w:val="20"/>
          <w:szCs w:val="20"/>
        </w:rPr>
        <w:t xml:space="preserve"> is voluntary, does not conflict with your employer’s policies, and that you agree to </w:t>
      </w:r>
      <w:r w:rsidR="00B151D2" w:rsidRPr="00771D4A">
        <w:rPr>
          <w:sz w:val="20"/>
          <w:szCs w:val="20"/>
        </w:rPr>
        <w:t>these Terms and Conditions</w:t>
      </w:r>
      <w:r w:rsidRPr="00771D4A">
        <w:rPr>
          <w:sz w:val="20"/>
          <w:szCs w:val="20"/>
        </w:rPr>
        <w:t>.</w:t>
      </w:r>
    </w:p>
    <w:p w14:paraId="499EFF11" w14:textId="7C9F50FC" w:rsidR="001A4CE2" w:rsidRDefault="001A4CE2"/>
    <w:sectPr w:rsidR="001A4CE2" w:rsidSect="00771D4A">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B2E8" w14:textId="77777777" w:rsidR="00282834" w:rsidRDefault="00282834" w:rsidP="007C1E9B">
      <w:pPr>
        <w:spacing w:after="0" w:line="240" w:lineRule="auto"/>
      </w:pPr>
      <w:r>
        <w:separator/>
      </w:r>
    </w:p>
  </w:endnote>
  <w:endnote w:type="continuationSeparator" w:id="0">
    <w:p w14:paraId="411AC130" w14:textId="77777777" w:rsidR="00282834" w:rsidRDefault="00282834" w:rsidP="007C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527062"/>
      <w:docPartObj>
        <w:docPartGallery w:val="Page Numbers (Bottom of Page)"/>
        <w:docPartUnique/>
      </w:docPartObj>
    </w:sdtPr>
    <w:sdtContent>
      <w:sdt>
        <w:sdtPr>
          <w:id w:val="-1769616900"/>
          <w:docPartObj>
            <w:docPartGallery w:val="Page Numbers (Top of Page)"/>
            <w:docPartUnique/>
          </w:docPartObj>
        </w:sdtPr>
        <w:sdtContent>
          <w:p w14:paraId="7F62BA5F" w14:textId="7D3B55AB" w:rsidR="004375C0" w:rsidRDefault="004375C0">
            <w:pPr>
              <w:pStyle w:val="Footer"/>
              <w:jc w:val="right"/>
            </w:pPr>
            <w:r w:rsidRPr="004375C0">
              <w:rPr>
                <w:sz w:val="20"/>
                <w:szCs w:val="20"/>
              </w:rPr>
              <w:t xml:space="preserve">Page </w:t>
            </w:r>
            <w:r w:rsidRPr="004375C0">
              <w:rPr>
                <w:b/>
                <w:bCs/>
                <w:sz w:val="20"/>
                <w:szCs w:val="20"/>
              </w:rPr>
              <w:fldChar w:fldCharType="begin"/>
            </w:r>
            <w:r w:rsidRPr="004375C0">
              <w:rPr>
                <w:b/>
                <w:bCs/>
                <w:sz w:val="20"/>
                <w:szCs w:val="20"/>
              </w:rPr>
              <w:instrText xml:space="preserve"> PAGE </w:instrText>
            </w:r>
            <w:r w:rsidRPr="004375C0">
              <w:rPr>
                <w:b/>
                <w:bCs/>
                <w:sz w:val="20"/>
                <w:szCs w:val="20"/>
              </w:rPr>
              <w:fldChar w:fldCharType="separate"/>
            </w:r>
            <w:r w:rsidRPr="004375C0">
              <w:rPr>
                <w:b/>
                <w:bCs/>
                <w:noProof/>
                <w:sz w:val="20"/>
                <w:szCs w:val="20"/>
              </w:rPr>
              <w:t>2</w:t>
            </w:r>
            <w:r w:rsidRPr="004375C0">
              <w:rPr>
                <w:b/>
                <w:bCs/>
                <w:sz w:val="20"/>
                <w:szCs w:val="20"/>
              </w:rPr>
              <w:fldChar w:fldCharType="end"/>
            </w:r>
            <w:r w:rsidRPr="004375C0">
              <w:rPr>
                <w:sz w:val="20"/>
                <w:szCs w:val="20"/>
              </w:rPr>
              <w:t xml:space="preserve"> of </w:t>
            </w:r>
            <w:r w:rsidRPr="004375C0">
              <w:rPr>
                <w:b/>
                <w:bCs/>
                <w:sz w:val="20"/>
                <w:szCs w:val="20"/>
              </w:rPr>
              <w:fldChar w:fldCharType="begin"/>
            </w:r>
            <w:r w:rsidRPr="004375C0">
              <w:rPr>
                <w:b/>
                <w:bCs/>
                <w:sz w:val="20"/>
                <w:szCs w:val="20"/>
              </w:rPr>
              <w:instrText xml:space="preserve"> NUMPAGES  </w:instrText>
            </w:r>
            <w:r w:rsidRPr="004375C0">
              <w:rPr>
                <w:b/>
                <w:bCs/>
                <w:sz w:val="20"/>
                <w:szCs w:val="20"/>
              </w:rPr>
              <w:fldChar w:fldCharType="separate"/>
            </w:r>
            <w:r w:rsidRPr="004375C0">
              <w:rPr>
                <w:b/>
                <w:bCs/>
                <w:noProof/>
                <w:sz w:val="20"/>
                <w:szCs w:val="20"/>
              </w:rPr>
              <w:t>2</w:t>
            </w:r>
            <w:r w:rsidRPr="004375C0">
              <w:rPr>
                <w:b/>
                <w:bCs/>
                <w:sz w:val="20"/>
                <w:szCs w:val="20"/>
              </w:rPr>
              <w:fldChar w:fldCharType="end"/>
            </w:r>
          </w:p>
        </w:sdtContent>
      </w:sdt>
    </w:sdtContent>
  </w:sdt>
  <w:p w14:paraId="2C110D76" w14:textId="09E7DCF4" w:rsidR="004375C0" w:rsidRPr="004375C0" w:rsidRDefault="004375C0">
    <w:pPr>
      <w:pStyle w:val="Footer"/>
      <w:rPr>
        <w:sz w:val="16"/>
        <w:szCs w:val="16"/>
      </w:rPr>
    </w:pPr>
    <w:r w:rsidRPr="004375C0">
      <w:rPr>
        <w:sz w:val="16"/>
        <w:szCs w:val="16"/>
      </w:rPr>
      <w:t xml:space="preserve">DEXCOM TAKE HOME TRIAL </w:t>
    </w:r>
    <w:r w:rsidR="00EE0683">
      <w:rPr>
        <w:sz w:val="16"/>
        <w:szCs w:val="16"/>
      </w:rPr>
      <w:t>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AC09F" w14:textId="77777777" w:rsidR="00282834" w:rsidRDefault="00282834" w:rsidP="007C1E9B">
      <w:pPr>
        <w:spacing w:after="0" w:line="240" w:lineRule="auto"/>
      </w:pPr>
      <w:r>
        <w:separator/>
      </w:r>
    </w:p>
  </w:footnote>
  <w:footnote w:type="continuationSeparator" w:id="0">
    <w:p w14:paraId="443E2021" w14:textId="77777777" w:rsidR="00282834" w:rsidRDefault="00282834" w:rsidP="007C1E9B">
      <w:pPr>
        <w:spacing w:after="0" w:line="240" w:lineRule="auto"/>
      </w:pPr>
      <w:r>
        <w:continuationSeparator/>
      </w:r>
    </w:p>
  </w:footnote>
  <w:footnote w:id="1">
    <w:p w14:paraId="790DC479" w14:textId="0303FD6E" w:rsidR="00D21F18" w:rsidRPr="00771D4A" w:rsidRDefault="00D21F18">
      <w:pPr>
        <w:pStyle w:val="FootnoteText"/>
        <w:rPr>
          <w:sz w:val="16"/>
          <w:szCs w:val="16"/>
        </w:rPr>
      </w:pPr>
      <w:r w:rsidRPr="00771D4A">
        <w:rPr>
          <w:rStyle w:val="FootnoteReference"/>
          <w:sz w:val="16"/>
          <w:szCs w:val="16"/>
        </w:rPr>
        <w:footnoteRef/>
      </w:r>
      <w:r w:rsidRPr="00771D4A">
        <w:rPr>
          <w:sz w:val="16"/>
          <w:szCs w:val="16"/>
        </w:rPr>
        <w:t xml:space="preserve"> The Dexcom G7 15 Day Continuous Glucose Monitoring System is a real time, continuous glucose monitoring device indicated for the management of diabetes in persons 18 years and older.</w:t>
      </w:r>
    </w:p>
  </w:footnote>
  <w:footnote w:id="2">
    <w:p w14:paraId="7400D1A1" w14:textId="7A9C83F3" w:rsidR="00D21F18" w:rsidRDefault="00D21F18">
      <w:pPr>
        <w:pStyle w:val="FootnoteText"/>
      </w:pPr>
      <w:r w:rsidRPr="00771D4A">
        <w:rPr>
          <w:rStyle w:val="FootnoteReference"/>
          <w:sz w:val="16"/>
          <w:szCs w:val="16"/>
        </w:rPr>
        <w:footnoteRef/>
      </w:r>
      <w:r w:rsidRPr="00771D4A">
        <w:rPr>
          <w:sz w:val="16"/>
          <w:szCs w:val="16"/>
        </w:rPr>
        <w:t xml:space="preserve"> </w:t>
      </w:r>
      <w:r w:rsidR="0003621F" w:rsidRPr="00771D4A">
        <w:rPr>
          <w:sz w:val="16"/>
          <w:szCs w:val="16"/>
        </w:rPr>
        <w:t xml:space="preserve">The </w:t>
      </w:r>
      <w:proofErr w:type="spellStart"/>
      <w:r w:rsidRPr="00771D4A">
        <w:rPr>
          <w:sz w:val="16"/>
          <w:szCs w:val="16"/>
        </w:rPr>
        <w:t>Stelo</w:t>
      </w:r>
      <w:proofErr w:type="spellEnd"/>
      <w:r w:rsidRPr="00771D4A">
        <w:rPr>
          <w:sz w:val="16"/>
          <w:szCs w:val="16"/>
        </w:rPr>
        <w:t xml:space="preserve"> </w:t>
      </w:r>
      <w:r w:rsidR="00256B91" w:rsidRPr="00771D4A">
        <w:rPr>
          <w:sz w:val="16"/>
          <w:szCs w:val="16"/>
        </w:rPr>
        <w:t>Glucose Biosensor</w:t>
      </w:r>
      <w:r w:rsidR="0003621F" w:rsidRPr="00771D4A">
        <w:rPr>
          <w:sz w:val="16"/>
          <w:szCs w:val="16"/>
        </w:rPr>
        <w:t xml:space="preserve"> System</w:t>
      </w:r>
      <w:r w:rsidR="00256B91" w:rsidRPr="00771D4A">
        <w:rPr>
          <w:sz w:val="16"/>
          <w:szCs w:val="16"/>
        </w:rPr>
        <w:t xml:space="preserve"> </w:t>
      </w:r>
      <w:r w:rsidRPr="00771D4A">
        <w:rPr>
          <w:sz w:val="16"/>
          <w:szCs w:val="16"/>
        </w:rPr>
        <w:t xml:space="preserve">is an FDA-cleared, </w:t>
      </w:r>
      <w:proofErr w:type="gramStart"/>
      <w:r w:rsidRPr="00771D4A">
        <w:rPr>
          <w:sz w:val="16"/>
          <w:szCs w:val="16"/>
        </w:rPr>
        <w:t>over-the-counter</w:t>
      </w:r>
      <w:proofErr w:type="gramEnd"/>
      <w:r w:rsidRPr="00771D4A">
        <w:rPr>
          <w:sz w:val="16"/>
          <w:szCs w:val="16"/>
        </w:rPr>
        <w:t xml:space="preserve"> (OTC) integrated Continuous Glucose Monitor (</w:t>
      </w:r>
      <w:proofErr w:type="spellStart"/>
      <w:r w:rsidRPr="00771D4A">
        <w:rPr>
          <w:sz w:val="16"/>
          <w:szCs w:val="16"/>
        </w:rPr>
        <w:t>iCGM</w:t>
      </w:r>
      <w:proofErr w:type="spellEnd"/>
      <w:r w:rsidRPr="00771D4A">
        <w:rPr>
          <w:sz w:val="16"/>
          <w:szCs w:val="16"/>
        </w:rPr>
        <w:t>) intended to continuously measure, record, analyze, and display glucose values in people 18 years and older not on insulin and who are not at risk of problematic hypoglycemia.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1D7D67"/>
    <w:multiLevelType w:val="hybridMultilevel"/>
    <w:tmpl w:val="609A6EEC"/>
    <w:lvl w:ilvl="0" w:tplc="F45C1DA4">
      <w:start w:val="1"/>
      <w:numFmt w:val="bullet"/>
      <w:lvlText w:val=""/>
      <w:lvlJc w:val="left"/>
      <w:pPr>
        <w:ind w:left="720" w:hanging="360"/>
      </w:pPr>
      <w:rPr>
        <w:rFonts w:ascii="Symbol" w:hAnsi="Symbol"/>
      </w:rPr>
    </w:lvl>
    <w:lvl w:ilvl="1" w:tplc="69485122">
      <w:start w:val="1"/>
      <w:numFmt w:val="bullet"/>
      <w:lvlText w:val=""/>
      <w:lvlJc w:val="left"/>
      <w:pPr>
        <w:ind w:left="720" w:hanging="360"/>
      </w:pPr>
      <w:rPr>
        <w:rFonts w:ascii="Symbol" w:hAnsi="Symbol"/>
      </w:rPr>
    </w:lvl>
    <w:lvl w:ilvl="2" w:tplc="D41A9220">
      <w:start w:val="1"/>
      <w:numFmt w:val="bullet"/>
      <w:lvlText w:val=""/>
      <w:lvlJc w:val="left"/>
      <w:pPr>
        <w:ind w:left="720" w:hanging="360"/>
      </w:pPr>
      <w:rPr>
        <w:rFonts w:ascii="Symbol" w:hAnsi="Symbol"/>
      </w:rPr>
    </w:lvl>
    <w:lvl w:ilvl="3" w:tplc="6D28351A">
      <w:start w:val="1"/>
      <w:numFmt w:val="bullet"/>
      <w:lvlText w:val=""/>
      <w:lvlJc w:val="left"/>
      <w:pPr>
        <w:ind w:left="720" w:hanging="360"/>
      </w:pPr>
      <w:rPr>
        <w:rFonts w:ascii="Symbol" w:hAnsi="Symbol"/>
      </w:rPr>
    </w:lvl>
    <w:lvl w:ilvl="4" w:tplc="A1689DCA">
      <w:start w:val="1"/>
      <w:numFmt w:val="bullet"/>
      <w:lvlText w:val=""/>
      <w:lvlJc w:val="left"/>
      <w:pPr>
        <w:ind w:left="720" w:hanging="360"/>
      </w:pPr>
      <w:rPr>
        <w:rFonts w:ascii="Symbol" w:hAnsi="Symbol"/>
      </w:rPr>
    </w:lvl>
    <w:lvl w:ilvl="5" w:tplc="D38085D2">
      <w:start w:val="1"/>
      <w:numFmt w:val="bullet"/>
      <w:lvlText w:val=""/>
      <w:lvlJc w:val="left"/>
      <w:pPr>
        <w:ind w:left="720" w:hanging="360"/>
      </w:pPr>
      <w:rPr>
        <w:rFonts w:ascii="Symbol" w:hAnsi="Symbol"/>
      </w:rPr>
    </w:lvl>
    <w:lvl w:ilvl="6" w:tplc="575E23B4">
      <w:start w:val="1"/>
      <w:numFmt w:val="bullet"/>
      <w:lvlText w:val=""/>
      <w:lvlJc w:val="left"/>
      <w:pPr>
        <w:ind w:left="720" w:hanging="360"/>
      </w:pPr>
      <w:rPr>
        <w:rFonts w:ascii="Symbol" w:hAnsi="Symbol"/>
      </w:rPr>
    </w:lvl>
    <w:lvl w:ilvl="7" w:tplc="123251AC">
      <w:start w:val="1"/>
      <w:numFmt w:val="bullet"/>
      <w:lvlText w:val=""/>
      <w:lvlJc w:val="left"/>
      <w:pPr>
        <w:ind w:left="720" w:hanging="360"/>
      </w:pPr>
      <w:rPr>
        <w:rFonts w:ascii="Symbol" w:hAnsi="Symbol"/>
      </w:rPr>
    </w:lvl>
    <w:lvl w:ilvl="8" w:tplc="8CC250A2">
      <w:start w:val="1"/>
      <w:numFmt w:val="bullet"/>
      <w:lvlText w:val=""/>
      <w:lvlJc w:val="left"/>
      <w:pPr>
        <w:ind w:left="720" w:hanging="360"/>
      </w:pPr>
      <w:rPr>
        <w:rFonts w:ascii="Symbol" w:hAnsi="Symbol"/>
      </w:rPr>
    </w:lvl>
  </w:abstractNum>
  <w:abstractNum w:abstractNumId="10" w15:restartNumberingAfterBreak="0">
    <w:nsid w:val="714A6865"/>
    <w:multiLevelType w:val="hybridMultilevel"/>
    <w:tmpl w:val="7E90BB60"/>
    <w:lvl w:ilvl="0" w:tplc="F9EC6314">
      <w:start w:val="1"/>
      <w:numFmt w:val="bullet"/>
      <w:lvlText w:val=""/>
      <w:lvlJc w:val="left"/>
      <w:pPr>
        <w:ind w:left="1080" w:hanging="360"/>
      </w:pPr>
      <w:rPr>
        <w:rFonts w:ascii="Symbol" w:hAnsi="Symbol"/>
      </w:rPr>
    </w:lvl>
    <w:lvl w:ilvl="1" w:tplc="4E34A41C">
      <w:start w:val="1"/>
      <w:numFmt w:val="bullet"/>
      <w:lvlText w:val=""/>
      <w:lvlJc w:val="left"/>
      <w:pPr>
        <w:ind w:left="1080" w:hanging="360"/>
      </w:pPr>
      <w:rPr>
        <w:rFonts w:ascii="Symbol" w:hAnsi="Symbol"/>
      </w:rPr>
    </w:lvl>
    <w:lvl w:ilvl="2" w:tplc="766C9EA4">
      <w:start w:val="1"/>
      <w:numFmt w:val="bullet"/>
      <w:lvlText w:val=""/>
      <w:lvlJc w:val="left"/>
      <w:pPr>
        <w:ind w:left="1080" w:hanging="360"/>
      </w:pPr>
      <w:rPr>
        <w:rFonts w:ascii="Symbol" w:hAnsi="Symbol"/>
      </w:rPr>
    </w:lvl>
    <w:lvl w:ilvl="3" w:tplc="98F0AB4E">
      <w:start w:val="1"/>
      <w:numFmt w:val="bullet"/>
      <w:lvlText w:val=""/>
      <w:lvlJc w:val="left"/>
      <w:pPr>
        <w:ind w:left="1080" w:hanging="360"/>
      </w:pPr>
      <w:rPr>
        <w:rFonts w:ascii="Symbol" w:hAnsi="Symbol"/>
      </w:rPr>
    </w:lvl>
    <w:lvl w:ilvl="4" w:tplc="61B61C56">
      <w:start w:val="1"/>
      <w:numFmt w:val="bullet"/>
      <w:lvlText w:val=""/>
      <w:lvlJc w:val="left"/>
      <w:pPr>
        <w:ind w:left="1080" w:hanging="360"/>
      </w:pPr>
      <w:rPr>
        <w:rFonts w:ascii="Symbol" w:hAnsi="Symbol"/>
      </w:rPr>
    </w:lvl>
    <w:lvl w:ilvl="5" w:tplc="8A929756">
      <w:start w:val="1"/>
      <w:numFmt w:val="bullet"/>
      <w:lvlText w:val=""/>
      <w:lvlJc w:val="left"/>
      <w:pPr>
        <w:ind w:left="1080" w:hanging="360"/>
      </w:pPr>
      <w:rPr>
        <w:rFonts w:ascii="Symbol" w:hAnsi="Symbol"/>
      </w:rPr>
    </w:lvl>
    <w:lvl w:ilvl="6" w:tplc="6388AE0A">
      <w:start w:val="1"/>
      <w:numFmt w:val="bullet"/>
      <w:lvlText w:val=""/>
      <w:lvlJc w:val="left"/>
      <w:pPr>
        <w:ind w:left="1080" w:hanging="360"/>
      </w:pPr>
      <w:rPr>
        <w:rFonts w:ascii="Symbol" w:hAnsi="Symbol"/>
      </w:rPr>
    </w:lvl>
    <w:lvl w:ilvl="7" w:tplc="4E8E0560">
      <w:start w:val="1"/>
      <w:numFmt w:val="bullet"/>
      <w:lvlText w:val=""/>
      <w:lvlJc w:val="left"/>
      <w:pPr>
        <w:ind w:left="1080" w:hanging="360"/>
      </w:pPr>
      <w:rPr>
        <w:rFonts w:ascii="Symbol" w:hAnsi="Symbol"/>
      </w:rPr>
    </w:lvl>
    <w:lvl w:ilvl="8" w:tplc="AD82CE7C">
      <w:start w:val="1"/>
      <w:numFmt w:val="bullet"/>
      <w:lvlText w:val=""/>
      <w:lvlJc w:val="left"/>
      <w:pPr>
        <w:ind w:left="1080" w:hanging="360"/>
      </w:pPr>
      <w:rPr>
        <w:rFonts w:ascii="Symbol" w:hAnsi="Symbol"/>
      </w:rPr>
    </w:lvl>
  </w:abstractNum>
  <w:abstractNum w:abstractNumId="11" w15:restartNumberingAfterBreak="0">
    <w:nsid w:val="78C159A8"/>
    <w:multiLevelType w:val="hybridMultilevel"/>
    <w:tmpl w:val="7C7AB5F4"/>
    <w:lvl w:ilvl="0" w:tplc="F202E7AC">
      <w:start w:val="1"/>
      <w:numFmt w:val="bullet"/>
      <w:lvlText w:val=""/>
      <w:lvlJc w:val="left"/>
      <w:pPr>
        <w:ind w:left="720" w:hanging="360"/>
      </w:pPr>
      <w:rPr>
        <w:rFonts w:ascii="Symbol" w:hAnsi="Symbol"/>
      </w:rPr>
    </w:lvl>
    <w:lvl w:ilvl="1" w:tplc="632E443A">
      <w:start w:val="1"/>
      <w:numFmt w:val="bullet"/>
      <w:lvlText w:val=""/>
      <w:lvlJc w:val="left"/>
      <w:pPr>
        <w:ind w:left="720" w:hanging="360"/>
      </w:pPr>
      <w:rPr>
        <w:rFonts w:ascii="Symbol" w:hAnsi="Symbol"/>
      </w:rPr>
    </w:lvl>
    <w:lvl w:ilvl="2" w:tplc="D368E5F4">
      <w:start w:val="1"/>
      <w:numFmt w:val="bullet"/>
      <w:lvlText w:val=""/>
      <w:lvlJc w:val="left"/>
      <w:pPr>
        <w:ind w:left="720" w:hanging="360"/>
      </w:pPr>
      <w:rPr>
        <w:rFonts w:ascii="Symbol" w:hAnsi="Symbol"/>
      </w:rPr>
    </w:lvl>
    <w:lvl w:ilvl="3" w:tplc="3F783FFC">
      <w:start w:val="1"/>
      <w:numFmt w:val="bullet"/>
      <w:lvlText w:val=""/>
      <w:lvlJc w:val="left"/>
      <w:pPr>
        <w:ind w:left="720" w:hanging="360"/>
      </w:pPr>
      <w:rPr>
        <w:rFonts w:ascii="Symbol" w:hAnsi="Symbol"/>
      </w:rPr>
    </w:lvl>
    <w:lvl w:ilvl="4" w:tplc="0E982670">
      <w:start w:val="1"/>
      <w:numFmt w:val="bullet"/>
      <w:lvlText w:val=""/>
      <w:lvlJc w:val="left"/>
      <w:pPr>
        <w:ind w:left="720" w:hanging="360"/>
      </w:pPr>
      <w:rPr>
        <w:rFonts w:ascii="Symbol" w:hAnsi="Symbol"/>
      </w:rPr>
    </w:lvl>
    <w:lvl w:ilvl="5" w:tplc="1B04CC02">
      <w:start w:val="1"/>
      <w:numFmt w:val="bullet"/>
      <w:lvlText w:val=""/>
      <w:lvlJc w:val="left"/>
      <w:pPr>
        <w:ind w:left="720" w:hanging="360"/>
      </w:pPr>
      <w:rPr>
        <w:rFonts w:ascii="Symbol" w:hAnsi="Symbol"/>
      </w:rPr>
    </w:lvl>
    <w:lvl w:ilvl="6" w:tplc="F13A0758">
      <w:start w:val="1"/>
      <w:numFmt w:val="bullet"/>
      <w:lvlText w:val=""/>
      <w:lvlJc w:val="left"/>
      <w:pPr>
        <w:ind w:left="720" w:hanging="360"/>
      </w:pPr>
      <w:rPr>
        <w:rFonts w:ascii="Symbol" w:hAnsi="Symbol"/>
      </w:rPr>
    </w:lvl>
    <w:lvl w:ilvl="7" w:tplc="32A08762">
      <w:start w:val="1"/>
      <w:numFmt w:val="bullet"/>
      <w:lvlText w:val=""/>
      <w:lvlJc w:val="left"/>
      <w:pPr>
        <w:ind w:left="720" w:hanging="360"/>
      </w:pPr>
      <w:rPr>
        <w:rFonts w:ascii="Symbol" w:hAnsi="Symbol"/>
      </w:rPr>
    </w:lvl>
    <w:lvl w:ilvl="8" w:tplc="3EFA574A">
      <w:start w:val="1"/>
      <w:numFmt w:val="bullet"/>
      <w:lvlText w:val=""/>
      <w:lvlJc w:val="left"/>
      <w:pPr>
        <w:ind w:left="720" w:hanging="360"/>
      </w:pPr>
      <w:rPr>
        <w:rFonts w:ascii="Symbol" w:hAnsi="Symbol"/>
      </w:rPr>
    </w:lvl>
  </w:abstractNum>
  <w:abstractNum w:abstractNumId="12" w15:restartNumberingAfterBreak="0">
    <w:nsid w:val="7AF673DF"/>
    <w:multiLevelType w:val="hybridMultilevel"/>
    <w:tmpl w:val="26DAED76"/>
    <w:lvl w:ilvl="0" w:tplc="66621B8A">
      <w:start w:val="1"/>
      <w:numFmt w:val="bullet"/>
      <w:lvlText w:val=""/>
      <w:lvlJc w:val="left"/>
      <w:pPr>
        <w:ind w:left="720" w:hanging="360"/>
      </w:pPr>
      <w:rPr>
        <w:rFonts w:ascii="Symbol" w:hAnsi="Symbol"/>
      </w:rPr>
    </w:lvl>
    <w:lvl w:ilvl="1" w:tplc="D30E6CDA">
      <w:start w:val="1"/>
      <w:numFmt w:val="bullet"/>
      <w:lvlText w:val=""/>
      <w:lvlJc w:val="left"/>
      <w:pPr>
        <w:ind w:left="720" w:hanging="360"/>
      </w:pPr>
      <w:rPr>
        <w:rFonts w:ascii="Symbol" w:hAnsi="Symbol"/>
      </w:rPr>
    </w:lvl>
    <w:lvl w:ilvl="2" w:tplc="70E0B7E6">
      <w:start w:val="1"/>
      <w:numFmt w:val="bullet"/>
      <w:lvlText w:val=""/>
      <w:lvlJc w:val="left"/>
      <w:pPr>
        <w:ind w:left="720" w:hanging="360"/>
      </w:pPr>
      <w:rPr>
        <w:rFonts w:ascii="Symbol" w:hAnsi="Symbol"/>
      </w:rPr>
    </w:lvl>
    <w:lvl w:ilvl="3" w:tplc="8F82DD3A">
      <w:start w:val="1"/>
      <w:numFmt w:val="bullet"/>
      <w:lvlText w:val=""/>
      <w:lvlJc w:val="left"/>
      <w:pPr>
        <w:ind w:left="720" w:hanging="360"/>
      </w:pPr>
      <w:rPr>
        <w:rFonts w:ascii="Symbol" w:hAnsi="Symbol"/>
      </w:rPr>
    </w:lvl>
    <w:lvl w:ilvl="4" w:tplc="8E7EEC8E">
      <w:start w:val="1"/>
      <w:numFmt w:val="bullet"/>
      <w:lvlText w:val=""/>
      <w:lvlJc w:val="left"/>
      <w:pPr>
        <w:ind w:left="720" w:hanging="360"/>
      </w:pPr>
      <w:rPr>
        <w:rFonts w:ascii="Symbol" w:hAnsi="Symbol"/>
      </w:rPr>
    </w:lvl>
    <w:lvl w:ilvl="5" w:tplc="B73645AA">
      <w:start w:val="1"/>
      <w:numFmt w:val="bullet"/>
      <w:lvlText w:val=""/>
      <w:lvlJc w:val="left"/>
      <w:pPr>
        <w:ind w:left="720" w:hanging="360"/>
      </w:pPr>
      <w:rPr>
        <w:rFonts w:ascii="Symbol" w:hAnsi="Symbol"/>
      </w:rPr>
    </w:lvl>
    <w:lvl w:ilvl="6" w:tplc="DC8C74F0">
      <w:start w:val="1"/>
      <w:numFmt w:val="bullet"/>
      <w:lvlText w:val=""/>
      <w:lvlJc w:val="left"/>
      <w:pPr>
        <w:ind w:left="720" w:hanging="360"/>
      </w:pPr>
      <w:rPr>
        <w:rFonts w:ascii="Symbol" w:hAnsi="Symbol"/>
      </w:rPr>
    </w:lvl>
    <w:lvl w:ilvl="7" w:tplc="B76A10D8">
      <w:start w:val="1"/>
      <w:numFmt w:val="bullet"/>
      <w:lvlText w:val=""/>
      <w:lvlJc w:val="left"/>
      <w:pPr>
        <w:ind w:left="720" w:hanging="360"/>
      </w:pPr>
      <w:rPr>
        <w:rFonts w:ascii="Symbol" w:hAnsi="Symbol"/>
      </w:rPr>
    </w:lvl>
    <w:lvl w:ilvl="8" w:tplc="A49C91BE">
      <w:start w:val="1"/>
      <w:numFmt w:val="bullet"/>
      <w:lvlText w:val=""/>
      <w:lvlJc w:val="left"/>
      <w:pPr>
        <w:ind w:left="720" w:hanging="360"/>
      </w:pPr>
      <w:rPr>
        <w:rFonts w:ascii="Symbol" w:hAnsi="Symbol"/>
      </w:rPr>
    </w:lvl>
  </w:abstractNum>
  <w:num w:numId="1" w16cid:durableId="1466964510">
    <w:abstractNumId w:val="8"/>
  </w:num>
  <w:num w:numId="2" w16cid:durableId="1013847214">
    <w:abstractNumId w:val="6"/>
  </w:num>
  <w:num w:numId="3" w16cid:durableId="1355113066">
    <w:abstractNumId w:val="5"/>
  </w:num>
  <w:num w:numId="4" w16cid:durableId="1645620667">
    <w:abstractNumId w:val="4"/>
  </w:num>
  <w:num w:numId="5" w16cid:durableId="2027054249">
    <w:abstractNumId w:val="7"/>
  </w:num>
  <w:num w:numId="6" w16cid:durableId="872154587">
    <w:abstractNumId w:val="3"/>
  </w:num>
  <w:num w:numId="7" w16cid:durableId="201091729">
    <w:abstractNumId w:val="2"/>
  </w:num>
  <w:num w:numId="8" w16cid:durableId="948390551">
    <w:abstractNumId w:val="1"/>
  </w:num>
  <w:num w:numId="9" w16cid:durableId="614868848">
    <w:abstractNumId w:val="0"/>
  </w:num>
  <w:num w:numId="10" w16cid:durableId="1466117174">
    <w:abstractNumId w:val="9"/>
  </w:num>
  <w:num w:numId="11" w16cid:durableId="472721601">
    <w:abstractNumId w:val="11"/>
  </w:num>
  <w:num w:numId="12" w16cid:durableId="1883401014">
    <w:abstractNumId w:val="10"/>
  </w:num>
  <w:num w:numId="13" w16cid:durableId="16176393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21F"/>
    <w:rsid w:val="00044CDA"/>
    <w:rsid w:val="000507CD"/>
    <w:rsid w:val="0006063C"/>
    <w:rsid w:val="00094D10"/>
    <w:rsid w:val="000C2377"/>
    <w:rsid w:val="000D209F"/>
    <w:rsid w:val="000D2DF1"/>
    <w:rsid w:val="000D54F2"/>
    <w:rsid w:val="000F05D0"/>
    <w:rsid w:val="00100772"/>
    <w:rsid w:val="00101382"/>
    <w:rsid w:val="00114653"/>
    <w:rsid w:val="00121D7D"/>
    <w:rsid w:val="00145A14"/>
    <w:rsid w:val="00147458"/>
    <w:rsid w:val="0015074B"/>
    <w:rsid w:val="00151B80"/>
    <w:rsid w:val="001723E5"/>
    <w:rsid w:val="00175973"/>
    <w:rsid w:val="001A4CE2"/>
    <w:rsid w:val="001A72C5"/>
    <w:rsid w:val="001B6099"/>
    <w:rsid w:val="001D1DF8"/>
    <w:rsid w:val="001D3653"/>
    <w:rsid w:val="001D5766"/>
    <w:rsid w:val="001F1FB2"/>
    <w:rsid w:val="0020591F"/>
    <w:rsid w:val="002318B4"/>
    <w:rsid w:val="00245254"/>
    <w:rsid w:val="0024648A"/>
    <w:rsid w:val="00256B91"/>
    <w:rsid w:val="002640DA"/>
    <w:rsid w:val="00271537"/>
    <w:rsid w:val="00277AF5"/>
    <w:rsid w:val="00282834"/>
    <w:rsid w:val="00282EAC"/>
    <w:rsid w:val="00287784"/>
    <w:rsid w:val="00293D88"/>
    <w:rsid w:val="0029639D"/>
    <w:rsid w:val="002A1648"/>
    <w:rsid w:val="002A60E3"/>
    <w:rsid w:val="002B17BF"/>
    <w:rsid w:val="002E4D39"/>
    <w:rsid w:val="002E5111"/>
    <w:rsid w:val="002F7242"/>
    <w:rsid w:val="00314DDC"/>
    <w:rsid w:val="00326F90"/>
    <w:rsid w:val="00340E6C"/>
    <w:rsid w:val="00360604"/>
    <w:rsid w:val="00392A6D"/>
    <w:rsid w:val="00394193"/>
    <w:rsid w:val="003C0952"/>
    <w:rsid w:val="003C26AA"/>
    <w:rsid w:val="003E120A"/>
    <w:rsid w:val="003E51F2"/>
    <w:rsid w:val="003E6AD9"/>
    <w:rsid w:val="00400D33"/>
    <w:rsid w:val="0040182F"/>
    <w:rsid w:val="0042414E"/>
    <w:rsid w:val="00432F08"/>
    <w:rsid w:val="004375C0"/>
    <w:rsid w:val="004963ED"/>
    <w:rsid w:val="00496B03"/>
    <w:rsid w:val="004A7797"/>
    <w:rsid w:val="004C09EF"/>
    <w:rsid w:val="004C575F"/>
    <w:rsid w:val="004D675B"/>
    <w:rsid w:val="004F6814"/>
    <w:rsid w:val="0050210E"/>
    <w:rsid w:val="00511953"/>
    <w:rsid w:val="00516375"/>
    <w:rsid w:val="00534AD7"/>
    <w:rsid w:val="00550F93"/>
    <w:rsid w:val="00562E4F"/>
    <w:rsid w:val="005733B1"/>
    <w:rsid w:val="005D05B4"/>
    <w:rsid w:val="005D197B"/>
    <w:rsid w:val="005E74BD"/>
    <w:rsid w:val="005F7793"/>
    <w:rsid w:val="00601B9E"/>
    <w:rsid w:val="00614B99"/>
    <w:rsid w:val="00616327"/>
    <w:rsid w:val="00620D85"/>
    <w:rsid w:val="00625E9B"/>
    <w:rsid w:val="006334EC"/>
    <w:rsid w:val="006356F7"/>
    <w:rsid w:val="006423A0"/>
    <w:rsid w:val="006432ED"/>
    <w:rsid w:val="00644A1E"/>
    <w:rsid w:val="006459C2"/>
    <w:rsid w:val="006721EF"/>
    <w:rsid w:val="00690E33"/>
    <w:rsid w:val="00695DA1"/>
    <w:rsid w:val="006B07B0"/>
    <w:rsid w:val="006C01DE"/>
    <w:rsid w:val="006D317C"/>
    <w:rsid w:val="006E685C"/>
    <w:rsid w:val="006F7F77"/>
    <w:rsid w:val="00711B93"/>
    <w:rsid w:val="007127D0"/>
    <w:rsid w:val="00713396"/>
    <w:rsid w:val="0073702C"/>
    <w:rsid w:val="007415FB"/>
    <w:rsid w:val="007453EA"/>
    <w:rsid w:val="007561F9"/>
    <w:rsid w:val="00771D4A"/>
    <w:rsid w:val="007863CB"/>
    <w:rsid w:val="007A1972"/>
    <w:rsid w:val="007C1E9B"/>
    <w:rsid w:val="007D7571"/>
    <w:rsid w:val="007E7C9D"/>
    <w:rsid w:val="007F3B9A"/>
    <w:rsid w:val="00804EA5"/>
    <w:rsid w:val="00805A71"/>
    <w:rsid w:val="00814C75"/>
    <w:rsid w:val="008277C2"/>
    <w:rsid w:val="0085335A"/>
    <w:rsid w:val="00863EBF"/>
    <w:rsid w:val="0088747C"/>
    <w:rsid w:val="008946DA"/>
    <w:rsid w:val="008B01B2"/>
    <w:rsid w:val="008B06F5"/>
    <w:rsid w:val="008C4998"/>
    <w:rsid w:val="008E48A1"/>
    <w:rsid w:val="00940D6A"/>
    <w:rsid w:val="009461E1"/>
    <w:rsid w:val="00965BA7"/>
    <w:rsid w:val="00980565"/>
    <w:rsid w:val="009B2117"/>
    <w:rsid w:val="009B5641"/>
    <w:rsid w:val="009C0FC9"/>
    <w:rsid w:val="009C1703"/>
    <w:rsid w:val="009C26BB"/>
    <w:rsid w:val="009C273F"/>
    <w:rsid w:val="009D0B36"/>
    <w:rsid w:val="009E38BA"/>
    <w:rsid w:val="00A0352A"/>
    <w:rsid w:val="00A12360"/>
    <w:rsid w:val="00A126C9"/>
    <w:rsid w:val="00A155DE"/>
    <w:rsid w:val="00A30F79"/>
    <w:rsid w:val="00A31F99"/>
    <w:rsid w:val="00A46D79"/>
    <w:rsid w:val="00A51CED"/>
    <w:rsid w:val="00A52420"/>
    <w:rsid w:val="00A87083"/>
    <w:rsid w:val="00AA1D8D"/>
    <w:rsid w:val="00AD3705"/>
    <w:rsid w:val="00AD5688"/>
    <w:rsid w:val="00AE0BA7"/>
    <w:rsid w:val="00AE16EB"/>
    <w:rsid w:val="00AE3D9D"/>
    <w:rsid w:val="00B11FD6"/>
    <w:rsid w:val="00B151D2"/>
    <w:rsid w:val="00B328E7"/>
    <w:rsid w:val="00B3436B"/>
    <w:rsid w:val="00B44F18"/>
    <w:rsid w:val="00B47730"/>
    <w:rsid w:val="00B50312"/>
    <w:rsid w:val="00B60006"/>
    <w:rsid w:val="00B91A13"/>
    <w:rsid w:val="00B93AEA"/>
    <w:rsid w:val="00B94C4C"/>
    <w:rsid w:val="00BC15E7"/>
    <w:rsid w:val="00BC2813"/>
    <w:rsid w:val="00BD3D9C"/>
    <w:rsid w:val="00BE14B1"/>
    <w:rsid w:val="00BE27ED"/>
    <w:rsid w:val="00BF611C"/>
    <w:rsid w:val="00C21B99"/>
    <w:rsid w:val="00C36479"/>
    <w:rsid w:val="00C4087F"/>
    <w:rsid w:val="00CB0664"/>
    <w:rsid w:val="00CC0BFA"/>
    <w:rsid w:val="00CC4A10"/>
    <w:rsid w:val="00CC5EA4"/>
    <w:rsid w:val="00CE3368"/>
    <w:rsid w:val="00CF1C82"/>
    <w:rsid w:val="00D02A97"/>
    <w:rsid w:val="00D12DD8"/>
    <w:rsid w:val="00D21BE1"/>
    <w:rsid w:val="00D21F18"/>
    <w:rsid w:val="00D33F30"/>
    <w:rsid w:val="00D370B5"/>
    <w:rsid w:val="00D4462F"/>
    <w:rsid w:val="00D464E8"/>
    <w:rsid w:val="00D61716"/>
    <w:rsid w:val="00D738D2"/>
    <w:rsid w:val="00D83D40"/>
    <w:rsid w:val="00D94289"/>
    <w:rsid w:val="00DA47DF"/>
    <w:rsid w:val="00DB58F0"/>
    <w:rsid w:val="00DC2082"/>
    <w:rsid w:val="00DD212C"/>
    <w:rsid w:val="00DD7D08"/>
    <w:rsid w:val="00DF01DA"/>
    <w:rsid w:val="00DF18F9"/>
    <w:rsid w:val="00E12595"/>
    <w:rsid w:val="00E160A1"/>
    <w:rsid w:val="00E3726C"/>
    <w:rsid w:val="00E64B08"/>
    <w:rsid w:val="00E70817"/>
    <w:rsid w:val="00E80730"/>
    <w:rsid w:val="00E83477"/>
    <w:rsid w:val="00EA0173"/>
    <w:rsid w:val="00EB1550"/>
    <w:rsid w:val="00ED717D"/>
    <w:rsid w:val="00EE0683"/>
    <w:rsid w:val="00EF7790"/>
    <w:rsid w:val="00F01F0C"/>
    <w:rsid w:val="00F11E33"/>
    <w:rsid w:val="00F16649"/>
    <w:rsid w:val="00F16C5B"/>
    <w:rsid w:val="00F50821"/>
    <w:rsid w:val="00F53BED"/>
    <w:rsid w:val="00F81C46"/>
    <w:rsid w:val="00F8563B"/>
    <w:rsid w:val="00F86D04"/>
    <w:rsid w:val="00F929B2"/>
    <w:rsid w:val="00FB7A43"/>
    <w:rsid w:val="00FC10ED"/>
    <w:rsid w:val="00FC693F"/>
    <w:rsid w:val="00FD2521"/>
    <w:rsid w:val="00FD630E"/>
    <w:rsid w:val="00FE782C"/>
    <w:rsid w:val="00FF4399"/>
    <w:rsid w:val="00FF7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8C630"/>
  <w14:defaultImageDpi w14:val="330"/>
  <w15:docId w15:val="{1306ECB8-FB16-4314-8D82-1B5F4F22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E12595"/>
    <w:rPr>
      <w:sz w:val="16"/>
      <w:szCs w:val="16"/>
    </w:rPr>
  </w:style>
  <w:style w:type="paragraph" w:styleId="CommentText">
    <w:name w:val="annotation text"/>
    <w:basedOn w:val="Normal"/>
    <w:link w:val="CommentTextChar"/>
    <w:uiPriority w:val="99"/>
    <w:unhideWhenUsed/>
    <w:rsid w:val="00E12595"/>
    <w:pPr>
      <w:spacing w:line="240" w:lineRule="auto"/>
    </w:pPr>
    <w:rPr>
      <w:sz w:val="20"/>
      <w:szCs w:val="20"/>
    </w:rPr>
  </w:style>
  <w:style w:type="character" w:customStyle="1" w:styleId="CommentTextChar">
    <w:name w:val="Comment Text Char"/>
    <w:basedOn w:val="DefaultParagraphFont"/>
    <w:link w:val="CommentText"/>
    <w:uiPriority w:val="99"/>
    <w:rsid w:val="00E12595"/>
    <w:rPr>
      <w:sz w:val="20"/>
      <w:szCs w:val="20"/>
    </w:rPr>
  </w:style>
  <w:style w:type="paragraph" w:styleId="CommentSubject">
    <w:name w:val="annotation subject"/>
    <w:basedOn w:val="CommentText"/>
    <w:next w:val="CommentText"/>
    <w:link w:val="CommentSubjectChar"/>
    <w:uiPriority w:val="99"/>
    <w:semiHidden/>
    <w:unhideWhenUsed/>
    <w:rsid w:val="00E12595"/>
    <w:rPr>
      <w:b/>
      <w:bCs/>
    </w:rPr>
  </w:style>
  <w:style w:type="character" w:customStyle="1" w:styleId="CommentSubjectChar">
    <w:name w:val="Comment Subject Char"/>
    <w:basedOn w:val="CommentTextChar"/>
    <w:link w:val="CommentSubject"/>
    <w:uiPriority w:val="99"/>
    <w:semiHidden/>
    <w:rsid w:val="00E12595"/>
    <w:rPr>
      <w:b/>
      <w:bCs/>
      <w:sz w:val="20"/>
      <w:szCs w:val="20"/>
    </w:rPr>
  </w:style>
  <w:style w:type="paragraph" w:styleId="FootnoteText">
    <w:name w:val="footnote text"/>
    <w:basedOn w:val="Normal"/>
    <w:link w:val="FootnoteTextChar"/>
    <w:uiPriority w:val="99"/>
    <w:semiHidden/>
    <w:unhideWhenUsed/>
    <w:rsid w:val="003941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193"/>
    <w:rPr>
      <w:sz w:val="20"/>
      <w:szCs w:val="20"/>
    </w:rPr>
  </w:style>
  <w:style w:type="character" w:styleId="FootnoteReference">
    <w:name w:val="footnote reference"/>
    <w:basedOn w:val="DefaultParagraphFont"/>
    <w:uiPriority w:val="99"/>
    <w:semiHidden/>
    <w:unhideWhenUsed/>
    <w:rsid w:val="00394193"/>
    <w:rPr>
      <w:vertAlign w:val="superscript"/>
    </w:rPr>
  </w:style>
  <w:style w:type="character" w:styleId="Hyperlink">
    <w:name w:val="Hyperlink"/>
    <w:basedOn w:val="DefaultParagraphFont"/>
    <w:uiPriority w:val="99"/>
    <w:unhideWhenUsed/>
    <w:rsid w:val="00F16C5B"/>
    <w:rPr>
      <w:color w:val="0000FF" w:themeColor="hyperlink"/>
      <w:u w:val="single"/>
    </w:rPr>
  </w:style>
  <w:style w:type="character" w:styleId="UnresolvedMention">
    <w:name w:val="Unresolved Mention"/>
    <w:basedOn w:val="DefaultParagraphFont"/>
    <w:uiPriority w:val="99"/>
    <w:semiHidden/>
    <w:unhideWhenUsed/>
    <w:rsid w:val="00F16C5B"/>
    <w:rPr>
      <w:color w:val="605E5C"/>
      <w:shd w:val="clear" w:color="auto" w:fill="E1DFDD"/>
    </w:rPr>
  </w:style>
  <w:style w:type="paragraph" w:styleId="Revision">
    <w:name w:val="Revision"/>
    <w:hidden/>
    <w:uiPriority w:val="99"/>
    <w:semiHidden/>
    <w:rsid w:val="00496B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el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exco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el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00A59BFF093A409422CEFE63B1AAE2" ma:contentTypeVersion="21" ma:contentTypeDescription="Create a new document." ma:contentTypeScope="" ma:versionID="0b4ed3bfa135e45186d2646cb38ca040">
  <xsd:schema xmlns:xsd="http://www.w3.org/2001/XMLSchema" xmlns:xs="http://www.w3.org/2001/XMLSchema" xmlns:p="http://schemas.microsoft.com/office/2006/metadata/properties" xmlns:ns2="dc8df972-515f-4bc5-b56e-218e88fd543b" xmlns:ns3="5db4ca09-25d0-4753-8b73-8d5322d30bf1" xmlns:ns4="99bc7f38-0048-43da-a5cf-50c892a1c657" targetNamespace="http://schemas.microsoft.com/office/2006/metadata/properties" ma:root="true" ma:fieldsID="544ed9387c2b535ec6ac765345faced6" ns2:_="" ns3:_="" ns4:_="">
    <xsd:import namespace="dc8df972-515f-4bc5-b56e-218e88fd543b"/>
    <xsd:import namespace="5db4ca09-25d0-4753-8b73-8d5322d30bf1"/>
    <xsd:import namespace="99bc7f38-0048-43da-a5cf-50c892a1c6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8df972-515f-4bc5-b56e-218e88fd5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c1d560-9c58-416f-8fc0-ea5203bd60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b4ca09-25d0-4753-8b73-8d5322d30b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c7f38-0048-43da-a5cf-50c892a1c6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3ac25-81ad-4195-bfee-ce88ec76aa04}" ma:internalName="TaxCatchAll" ma:showField="CatchAllData" ma:web="5db4ca09-25d0-4753-8b73-8d5322d30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bc7f38-0048-43da-a5cf-50c892a1c657" xsi:nil="true"/>
    <lcf76f155ced4ddcb4097134ff3c332f xmlns="dc8df972-515f-4bc5-b56e-218e88fd543b">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45c1d560-9c58-416f-8fc0-ea5203bd60e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BEDDB-6E54-464E-AB74-962CFB5F45B4}">
  <ds:schemaRefs>
    <ds:schemaRef ds:uri="http://schemas.microsoft.com/sharepoint/v3/contenttype/forms"/>
  </ds:schemaRefs>
</ds:datastoreItem>
</file>

<file path=customXml/itemProps2.xml><?xml version="1.0" encoding="utf-8"?>
<ds:datastoreItem xmlns:ds="http://schemas.openxmlformats.org/officeDocument/2006/customXml" ds:itemID="{874188A2-5D34-4A05-8E98-8D4036D3F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8df972-515f-4bc5-b56e-218e88fd543b"/>
    <ds:schemaRef ds:uri="5db4ca09-25d0-4753-8b73-8d5322d30bf1"/>
    <ds:schemaRef ds:uri="99bc7f38-0048-43da-a5cf-50c892a1c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BB53-F6C9-4EA7-B900-B14BE74D551F}">
  <ds:schemaRefs>
    <ds:schemaRef ds:uri="http://schemas.microsoft.com/office/2006/metadata/properties"/>
    <ds:schemaRef ds:uri="http://schemas.microsoft.com/office/infopath/2007/PartnerControls"/>
    <ds:schemaRef ds:uri="99bc7f38-0048-43da-a5cf-50c892a1c657"/>
    <ds:schemaRef ds:uri="dc8df972-515f-4bc5-b56e-218e88fd543b"/>
  </ds:schemaRefs>
</ds:datastoreItem>
</file>

<file path=customXml/itemProps4.xml><?xml version="1.0" encoding="utf-8"?>
<ds:datastoreItem xmlns:ds="http://schemas.openxmlformats.org/officeDocument/2006/customXml" ds:itemID="{29E73E2B-E658-476D-A54F-1FB55E6C7E9C}">
  <ds:schemaRefs>
    <ds:schemaRef ds:uri="Microsoft.SharePoint.Taxonomy.ContentTypeSync"/>
  </ds:schemaRefs>
</ds:datastoreItem>
</file>

<file path=customXml/itemProps5.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1ef86925-9ec4-413a-bb9d-e9bc2aff2395}" enabled="0" method="" siteId="{1ef86925-9ec4-413a-bb9d-e9bc2aff239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DexCom Legal</dc:creator>
  <cp:keywords/>
  <dc:description/>
  <cp:lastModifiedBy>Jenny Silvers</cp:lastModifiedBy>
  <cp:revision>2</cp:revision>
  <dcterms:created xsi:type="dcterms:W3CDTF">2026-04-30T20:47:00Z</dcterms:created>
  <dcterms:modified xsi:type="dcterms:W3CDTF">2026-04-30T20:47:00Z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0x0101009A00A59BFF093A409422CEFE63B1AAE2</vt:lpwstr>
  </property>
</Properties>
</file>